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CAD" w14:textId="4BB60B47" w:rsidR="00EF5A94" w:rsidRPr="00EF5A94" w:rsidRDefault="00500BAC" w:rsidP="00EF5A94">
      <w:pPr>
        <w:spacing w:after="200" w:line="276" w:lineRule="auto"/>
        <w:rPr>
          <w:rFonts w:ascii="Calibri" w:eastAsia="SimSun" w:hAnsi="Calibri" w:cs="Times New Roman"/>
          <w:lang w:eastAsia="zh-CN"/>
        </w:rPr>
      </w:pPr>
      <w:r w:rsidRPr="00EF5A94">
        <w:rPr>
          <w:rFonts w:ascii="Calibri" w:eastAsia="SimSun" w:hAnsi="Calibri" w:cs="Times New Roman"/>
          <w:color w:val="2E74B5" w:themeColor="accent1" w:themeShade="BF"/>
          <w:sz w:val="32"/>
          <w:szCs w:val="32"/>
          <w:lang w:eastAsia="zh-CN"/>
        </w:rPr>
        <w:t>One</w:t>
      </w:r>
      <w:r w:rsidR="00412F8F">
        <w:rPr>
          <w:rFonts w:ascii="Calibri" w:eastAsia="SimSun" w:hAnsi="Calibri" w:cs="Times New Roman"/>
          <w:color w:val="2E74B5" w:themeColor="accent1" w:themeShade="BF"/>
          <w:sz w:val="32"/>
          <w:szCs w:val="32"/>
          <w:lang w:eastAsia="zh-CN"/>
        </w:rPr>
        <w:t xml:space="preserve"> </w:t>
      </w:r>
      <w:r w:rsidRPr="00EF5A94">
        <w:rPr>
          <w:rFonts w:ascii="Calibri" w:eastAsia="SimSun" w:hAnsi="Calibri" w:cs="Times New Roman"/>
          <w:color w:val="2E74B5" w:themeColor="accent1" w:themeShade="BF"/>
          <w:sz w:val="32"/>
          <w:szCs w:val="32"/>
          <w:lang w:eastAsia="zh-CN"/>
        </w:rPr>
        <w:t>Health case study: Ethiopia</w:t>
      </w:r>
    </w:p>
    <w:p w14:paraId="652B3FBC" w14:textId="7DDAA154" w:rsidR="00EF5A94" w:rsidRPr="00EF5A94" w:rsidRDefault="00EF5A94" w:rsidP="00EF5A94">
      <w:pPr>
        <w:spacing w:after="200" w:line="276" w:lineRule="auto"/>
        <w:rPr>
          <w:rFonts w:ascii="Calibri" w:eastAsia="SimSun" w:hAnsi="Calibri" w:cs="Times New Roman"/>
          <w:lang w:eastAsia="zh-CN"/>
        </w:rPr>
      </w:pPr>
      <w:r w:rsidRPr="00EF5A94">
        <w:rPr>
          <w:rFonts w:ascii="Calibri" w:eastAsia="SimSun" w:hAnsi="Calibri" w:cs="Times New Roman"/>
          <w:lang w:eastAsia="zh-CN"/>
        </w:rPr>
        <w:t>The Ethiopian National Mental Health Strategy was published in 2012 and embraced a plan to scale-up mental health care based on the WHO mental health Gap Action Programme (mhGAP) and utilizing the mhGAP evidence-based packages of care for priority mental, neurological and substance use disorders. In 2014, the Ministry of Health of Ethiopia launched an ambitious 12</w:t>
      </w:r>
      <w:r w:rsidR="00FA6E92">
        <w:rPr>
          <w:rFonts w:ascii="Calibri" w:eastAsia="SimSun" w:hAnsi="Calibri" w:cs="Times New Roman"/>
          <w:lang w:eastAsia="zh-CN"/>
        </w:rPr>
        <w:t>-</w:t>
      </w:r>
      <w:r w:rsidRPr="00EF5A94">
        <w:rPr>
          <w:rFonts w:ascii="Calibri" w:eastAsia="SimSun" w:hAnsi="Calibri" w:cs="Times New Roman"/>
          <w:lang w:eastAsia="zh-CN"/>
        </w:rPr>
        <w:t>year plan to scale-up mental health care across the whole country. The Federal Ministry of Health of Ethiopia adopted the One</w:t>
      </w:r>
      <w:r w:rsidR="00412F8F">
        <w:rPr>
          <w:rFonts w:ascii="Calibri" w:eastAsia="SimSun" w:hAnsi="Calibri" w:cs="Times New Roman"/>
          <w:lang w:eastAsia="zh-CN"/>
        </w:rPr>
        <w:t xml:space="preserve"> </w:t>
      </w:r>
      <w:r w:rsidRPr="00EF5A94">
        <w:rPr>
          <w:rFonts w:ascii="Calibri" w:eastAsia="SimSun" w:hAnsi="Calibri" w:cs="Times New Roman"/>
          <w:lang w:eastAsia="zh-CN"/>
        </w:rPr>
        <w:t xml:space="preserve">Health tool to support planning for its Health Sector Transformation Plan (2015/16 to 2019/20). </w:t>
      </w:r>
    </w:p>
    <w:p w14:paraId="01DC9806" w14:textId="77777777" w:rsidR="00FA6E92" w:rsidRDefault="00EF5A94" w:rsidP="00EF5A94">
      <w:pPr>
        <w:spacing w:after="200" w:line="276" w:lineRule="auto"/>
        <w:rPr>
          <w:rFonts w:ascii="Calibri" w:eastAsia="SimSun" w:hAnsi="Calibri" w:cs="Times New Roman"/>
          <w:lang w:eastAsia="zh-CN"/>
        </w:rPr>
      </w:pPr>
      <w:r w:rsidRPr="00EF5A94">
        <w:rPr>
          <w:rFonts w:ascii="Calibri" w:eastAsia="SimSun" w:hAnsi="Calibri" w:cs="Times New Roman"/>
          <w:lang w:eastAsia="zh-CN"/>
        </w:rPr>
        <w:t>The selection of packages of care for each of the selected disorders (psychosis, epilepsy and depression) was informed by the availability of appropriate human resources and learning from ongoing research programmes</w:t>
      </w:r>
      <w:r w:rsidR="00FA6E92">
        <w:rPr>
          <w:rFonts w:ascii="Calibri" w:eastAsia="SimSun" w:hAnsi="Calibri" w:cs="Times New Roman"/>
          <w:lang w:eastAsia="zh-CN"/>
        </w:rPr>
        <w:t xml:space="preserve">, </w:t>
      </w:r>
      <w:r w:rsidRPr="00EF5A94">
        <w:rPr>
          <w:rFonts w:ascii="Calibri" w:eastAsia="SimSun" w:hAnsi="Calibri" w:cs="Times New Roman"/>
          <w:lang w:eastAsia="zh-CN"/>
        </w:rPr>
        <w:t xml:space="preserve">including the Programme for Improving Mental health carE </w:t>
      </w:r>
      <w:r w:rsidR="00FA6E92">
        <w:rPr>
          <w:rFonts w:ascii="Calibri" w:eastAsia="SimSun" w:hAnsi="Calibri" w:cs="Times New Roman"/>
          <w:lang w:eastAsia="zh-CN"/>
        </w:rPr>
        <w:t>(</w:t>
      </w:r>
      <w:r w:rsidRPr="00EF5A94">
        <w:rPr>
          <w:rFonts w:ascii="Calibri" w:eastAsia="SimSun" w:hAnsi="Calibri" w:cs="Times New Roman"/>
          <w:lang w:eastAsia="zh-CN"/>
        </w:rPr>
        <w:t>PRIME</w:t>
      </w:r>
      <w:r w:rsidR="00FA6E92">
        <w:rPr>
          <w:rFonts w:ascii="Calibri" w:eastAsia="SimSun" w:hAnsi="Calibri" w:cs="Times New Roman"/>
          <w:lang w:eastAsia="zh-CN"/>
        </w:rPr>
        <w:t>)</w:t>
      </w:r>
      <w:r w:rsidRPr="00EF5A94">
        <w:rPr>
          <w:rFonts w:ascii="Calibri" w:eastAsia="SimSun" w:hAnsi="Calibri" w:cs="Times New Roman"/>
          <w:lang w:eastAsia="zh-CN"/>
        </w:rPr>
        <w:t xml:space="preserve"> and the EC-funded Emerging </w:t>
      </w:r>
      <w:r w:rsidR="00FA6E92">
        <w:rPr>
          <w:rFonts w:ascii="Calibri" w:eastAsia="SimSun" w:hAnsi="Calibri" w:cs="Times New Roman"/>
          <w:lang w:eastAsia="zh-CN"/>
        </w:rPr>
        <w:t>M</w:t>
      </w:r>
      <w:r w:rsidRPr="00EF5A94">
        <w:rPr>
          <w:rFonts w:ascii="Calibri" w:eastAsia="SimSun" w:hAnsi="Calibri" w:cs="Times New Roman"/>
          <w:lang w:eastAsia="zh-CN"/>
        </w:rPr>
        <w:t xml:space="preserve">ental </w:t>
      </w:r>
      <w:r w:rsidR="00FA6E92">
        <w:rPr>
          <w:rFonts w:ascii="Calibri" w:eastAsia="SimSun" w:hAnsi="Calibri" w:cs="Times New Roman"/>
          <w:lang w:eastAsia="zh-CN"/>
        </w:rPr>
        <w:t>H</w:t>
      </w:r>
      <w:r w:rsidRPr="00EF5A94">
        <w:rPr>
          <w:rFonts w:ascii="Calibri" w:eastAsia="SimSun" w:hAnsi="Calibri" w:cs="Times New Roman"/>
          <w:lang w:eastAsia="zh-CN"/>
        </w:rPr>
        <w:t xml:space="preserve">ealth </w:t>
      </w:r>
      <w:r w:rsidR="00FA6E92">
        <w:rPr>
          <w:rFonts w:ascii="Calibri" w:eastAsia="SimSun" w:hAnsi="Calibri" w:cs="Times New Roman"/>
          <w:lang w:eastAsia="zh-CN"/>
        </w:rPr>
        <w:t>S</w:t>
      </w:r>
      <w:r w:rsidRPr="00EF5A94">
        <w:rPr>
          <w:rFonts w:ascii="Calibri" w:eastAsia="SimSun" w:hAnsi="Calibri" w:cs="Times New Roman"/>
          <w:lang w:eastAsia="zh-CN"/>
        </w:rPr>
        <w:t xml:space="preserve">ystems in </w:t>
      </w:r>
      <w:r w:rsidR="00FA6E92">
        <w:rPr>
          <w:rFonts w:ascii="Calibri" w:eastAsia="SimSun" w:hAnsi="Calibri" w:cs="Times New Roman"/>
          <w:lang w:eastAsia="zh-CN"/>
        </w:rPr>
        <w:t>L</w:t>
      </w:r>
      <w:r w:rsidRPr="00EF5A94">
        <w:rPr>
          <w:rFonts w:ascii="Calibri" w:eastAsia="SimSun" w:hAnsi="Calibri" w:cs="Times New Roman"/>
          <w:lang w:eastAsia="zh-CN"/>
        </w:rPr>
        <w:t xml:space="preserve">ow- and </w:t>
      </w:r>
      <w:r w:rsidR="00FA6E92">
        <w:rPr>
          <w:rFonts w:ascii="Calibri" w:eastAsia="SimSun" w:hAnsi="Calibri" w:cs="Times New Roman"/>
          <w:lang w:eastAsia="zh-CN"/>
        </w:rPr>
        <w:t>M</w:t>
      </w:r>
      <w:r w:rsidRPr="00EF5A94">
        <w:rPr>
          <w:rFonts w:ascii="Calibri" w:eastAsia="SimSun" w:hAnsi="Calibri" w:cs="Times New Roman"/>
          <w:lang w:eastAsia="zh-CN"/>
        </w:rPr>
        <w:t xml:space="preserve">iddle-income </w:t>
      </w:r>
      <w:r w:rsidR="00FA6E92">
        <w:rPr>
          <w:rFonts w:ascii="Calibri" w:eastAsia="SimSun" w:hAnsi="Calibri" w:cs="Times New Roman"/>
          <w:lang w:eastAsia="zh-CN"/>
        </w:rPr>
        <w:t>C</w:t>
      </w:r>
      <w:r w:rsidRPr="00EF5A94">
        <w:rPr>
          <w:rFonts w:ascii="Calibri" w:eastAsia="SimSun" w:hAnsi="Calibri" w:cs="Times New Roman"/>
          <w:lang w:eastAsia="zh-CN"/>
        </w:rPr>
        <w:t xml:space="preserve">ountries </w:t>
      </w:r>
      <w:r w:rsidR="00FA6E92">
        <w:rPr>
          <w:rFonts w:ascii="Calibri" w:eastAsia="SimSun" w:hAnsi="Calibri" w:cs="Times New Roman"/>
          <w:lang w:eastAsia="zh-CN"/>
        </w:rPr>
        <w:t>(</w:t>
      </w:r>
      <w:r w:rsidRPr="00EF5A94">
        <w:rPr>
          <w:rFonts w:ascii="Calibri" w:eastAsia="SimSun" w:hAnsi="Calibri" w:cs="Times New Roman"/>
          <w:lang w:eastAsia="zh-CN"/>
        </w:rPr>
        <w:t xml:space="preserve">Emerald). </w:t>
      </w:r>
    </w:p>
    <w:p w14:paraId="4738F38D" w14:textId="7D57FD61" w:rsidR="00EF5A94" w:rsidRPr="00EF5A94" w:rsidRDefault="00EF5A94" w:rsidP="00EF5A94">
      <w:pPr>
        <w:spacing w:after="200" w:line="276" w:lineRule="auto"/>
        <w:rPr>
          <w:rFonts w:ascii="Calibri" w:eastAsia="SimSun" w:hAnsi="Calibri" w:cs="Times New Roman"/>
          <w:lang w:eastAsia="zh-CN"/>
        </w:rPr>
      </w:pPr>
      <w:r w:rsidRPr="00EF5A94">
        <w:rPr>
          <w:rFonts w:ascii="Calibri" w:eastAsia="SimSun" w:hAnsi="Calibri" w:cs="Times New Roman"/>
          <w:lang w:eastAsia="zh-CN"/>
        </w:rPr>
        <w:t>The mental health scale-up plan for Ethiopia aim</w:t>
      </w:r>
      <w:r w:rsidR="0033343C">
        <w:rPr>
          <w:rFonts w:ascii="Calibri" w:eastAsia="SimSun" w:hAnsi="Calibri" w:cs="Times New Roman"/>
          <w:lang w:eastAsia="zh-CN"/>
        </w:rPr>
        <w:t>ed</w:t>
      </w:r>
      <w:r w:rsidRPr="00EF5A94">
        <w:rPr>
          <w:rFonts w:ascii="Calibri" w:eastAsia="SimSun" w:hAnsi="Calibri" w:cs="Times New Roman"/>
          <w:lang w:eastAsia="zh-CN"/>
        </w:rPr>
        <w:t xml:space="preserve"> for 44% coverage (at the health facility level) by the end of 2019. Given the challenges experienced by the mhGAP pilot in Ethiopia and by the PRIME Ethiopia project with respect to demand for mental health care for depression, a more modest coverage target of 30% by 2020 was set. For psychosis</w:t>
      </w:r>
      <w:r w:rsidR="0033343C">
        <w:rPr>
          <w:rFonts w:ascii="Calibri" w:eastAsia="SimSun" w:hAnsi="Calibri" w:cs="Times New Roman"/>
          <w:lang w:eastAsia="zh-CN"/>
        </w:rPr>
        <w:t>,</w:t>
      </w:r>
      <w:r w:rsidRPr="00EF5A94">
        <w:rPr>
          <w:rFonts w:ascii="Calibri" w:eastAsia="SimSun" w:hAnsi="Calibri" w:cs="Times New Roman"/>
          <w:lang w:eastAsia="zh-CN"/>
        </w:rPr>
        <w:t xml:space="preserve"> the target coverage was 30%</w:t>
      </w:r>
      <w:r w:rsidR="0033343C">
        <w:rPr>
          <w:rFonts w:ascii="Calibri" w:eastAsia="SimSun" w:hAnsi="Calibri" w:cs="Times New Roman"/>
          <w:lang w:eastAsia="zh-CN"/>
        </w:rPr>
        <w:t>,</w:t>
      </w:r>
      <w:r w:rsidRPr="00EF5A94">
        <w:rPr>
          <w:rFonts w:ascii="Calibri" w:eastAsia="SimSun" w:hAnsi="Calibri" w:cs="Times New Roman"/>
          <w:lang w:eastAsia="zh-CN"/>
        </w:rPr>
        <w:t xml:space="preserve"> and for epilepsy</w:t>
      </w:r>
      <w:r w:rsidR="0033343C">
        <w:rPr>
          <w:rFonts w:ascii="Calibri" w:eastAsia="SimSun" w:hAnsi="Calibri" w:cs="Times New Roman"/>
          <w:lang w:eastAsia="zh-CN"/>
        </w:rPr>
        <w:t>,</w:t>
      </w:r>
      <w:r w:rsidRPr="00EF5A94">
        <w:rPr>
          <w:rFonts w:ascii="Calibri" w:eastAsia="SimSun" w:hAnsi="Calibri" w:cs="Times New Roman"/>
          <w:lang w:eastAsia="zh-CN"/>
        </w:rPr>
        <w:t xml:space="preserve"> the target coverage was 50%. Information on the programme</w:t>
      </w:r>
      <w:r w:rsidR="0033343C">
        <w:rPr>
          <w:rFonts w:ascii="Calibri" w:eastAsia="SimSun" w:hAnsi="Calibri" w:cs="Times New Roman"/>
          <w:lang w:eastAsia="zh-CN"/>
        </w:rPr>
        <w:t>-</w:t>
      </w:r>
      <w:r w:rsidRPr="00EF5A94">
        <w:rPr>
          <w:rFonts w:ascii="Calibri" w:eastAsia="SimSun" w:hAnsi="Calibri" w:cs="Times New Roman"/>
          <w:lang w:eastAsia="zh-CN"/>
        </w:rPr>
        <w:t>specific staff inputs required for scale-up were obtained from the National Mental Health Strategy</w:t>
      </w:r>
      <w:r w:rsidR="0033343C">
        <w:rPr>
          <w:rFonts w:ascii="Calibri" w:eastAsia="SimSun" w:hAnsi="Calibri" w:cs="Times New Roman"/>
          <w:lang w:eastAsia="zh-CN"/>
        </w:rPr>
        <w:t>;</w:t>
      </w:r>
      <w:r w:rsidRPr="00EF5A94">
        <w:rPr>
          <w:rFonts w:ascii="Calibri" w:eastAsia="SimSun" w:hAnsi="Calibri" w:cs="Times New Roman"/>
          <w:lang w:eastAsia="zh-CN"/>
        </w:rPr>
        <w:t xml:space="preserve"> for example, to include a new mental health co-ordinator at each level of the health system (district, regional and national). Furthermore, information on the training plans, in terms of the number of health workers per health centre per year were obtained from </w:t>
      </w:r>
      <w:r w:rsidR="0033343C">
        <w:rPr>
          <w:rFonts w:ascii="Calibri" w:eastAsia="SimSun" w:hAnsi="Calibri" w:cs="Times New Roman"/>
          <w:lang w:eastAsia="zh-CN"/>
        </w:rPr>
        <w:t xml:space="preserve">Ministry of Health </w:t>
      </w:r>
      <w:r w:rsidRPr="00EF5A94">
        <w:rPr>
          <w:rFonts w:ascii="Calibri" w:eastAsia="SimSun" w:hAnsi="Calibri" w:cs="Times New Roman"/>
          <w:lang w:eastAsia="zh-CN"/>
        </w:rPr>
        <w:t xml:space="preserve">plans developed within the </w:t>
      </w:r>
      <w:r w:rsidR="00834A07">
        <w:rPr>
          <w:rFonts w:ascii="Calibri" w:eastAsia="SimSun" w:hAnsi="Calibri" w:cs="Times New Roman"/>
          <w:lang w:eastAsia="zh-CN"/>
        </w:rPr>
        <w:t>noncommunicable diseases</w:t>
      </w:r>
      <w:r w:rsidRPr="00EF5A94">
        <w:rPr>
          <w:rFonts w:ascii="Calibri" w:eastAsia="SimSun" w:hAnsi="Calibri" w:cs="Times New Roman"/>
          <w:lang w:eastAsia="zh-CN"/>
        </w:rPr>
        <w:t xml:space="preserve"> unit. Information on human resource costs, training costs for mhGAP and infrastructure costs were obtained from the planning department of the Ministry of Health.</w:t>
      </w:r>
    </w:p>
    <w:p w14:paraId="6EE44368" w14:textId="53B7D0C2" w:rsidR="00EF5A94" w:rsidRPr="00EF5A94" w:rsidRDefault="00834A07" w:rsidP="00EF5A94">
      <w:pPr>
        <w:spacing w:after="200" w:line="276" w:lineRule="auto"/>
        <w:rPr>
          <w:rFonts w:ascii="Calibri" w:eastAsia="SimSun" w:hAnsi="Calibri" w:cs="Times New Roman"/>
          <w:lang w:eastAsia="zh-CN"/>
        </w:rPr>
      </w:pPr>
      <w:r>
        <w:rPr>
          <w:rFonts w:ascii="Calibri" w:eastAsia="SimSun" w:hAnsi="Calibri" w:cs="Times New Roman"/>
          <w:lang w:eastAsia="zh-CN"/>
        </w:rPr>
        <w:t>The r</w:t>
      </w:r>
      <w:r w:rsidR="00EF5A94" w:rsidRPr="00EF5A94">
        <w:rPr>
          <w:rFonts w:ascii="Calibri" w:eastAsia="SimSun" w:hAnsi="Calibri" w:cs="Times New Roman"/>
          <w:lang w:eastAsia="zh-CN"/>
        </w:rPr>
        <w:t>esults shown below are for the expected costs and associated health impacts of mental health service scale-up in Ethiopia over the coming five years.  The estimated cost per capita of scaling up this package at current coverage rates was estimated at US$ 0.11, compared to US$ 0.39 at target levels of coverage. These analyses were used and discussed in the national health planning process, with final estimates of scale-up published in the Health Sector Transformation Plan.</w:t>
      </w:r>
    </w:p>
    <w:tbl>
      <w:tblPr>
        <w:tblStyle w:val="TableGrid4"/>
        <w:tblW w:w="0" w:type="auto"/>
        <w:tblLook w:val="04A0" w:firstRow="1" w:lastRow="0" w:firstColumn="1" w:lastColumn="0" w:noHBand="0" w:noVBand="1"/>
      </w:tblPr>
      <w:tblGrid>
        <w:gridCol w:w="4720"/>
        <w:gridCol w:w="4296"/>
      </w:tblGrid>
      <w:tr w:rsidR="00EF5A94" w:rsidRPr="00EF5A94" w14:paraId="42CCA990" w14:textId="77777777" w:rsidTr="00255156">
        <w:tc>
          <w:tcPr>
            <w:tcW w:w="4740" w:type="dxa"/>
          </w:tcPr>
          <w:p w14:paraId="45FAEF28" w14:textId="77777777" w:rsidR="00EF5A94" w:rsidRPr="00EF5A94" w:rsidRDefault="00EF5A94" w:rsidP="00EF5A94">
            <w:pPr>
              <w:rPr>
                <w:rFonts w:ascii="Calibri" w:hAnsi="Calibri" w:cs="Times New Roman"/>
              </w:rPr>
            </w:pPr>
            <w:r w:rsidRPr="00EF5A94">
              <w:rPr>
                <w:rFonts w:ascii="Calibri" w:hAnsi="Calibri" w:cs="Times New Roman"/>
                <w:noProof/>
                <w:lang w:eastAsia="en-GB"/>
              </w:rPr>
              <w:drawing>
                <wp:inline distT="0" distB="0" distL="0" distR="0" wp14:anchorId="6BE98233" wp14:editId="7834CD91">
                  <wp:extent cx="3212592" cy="1780032"/>
                  <wp:effectExtent l="0" t="0" r="2603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c>
        <w:tc>
          <w:tcPr>
            <w:tcW w:w="4836" w:type="dxa"/>
          </w:tcPr>
          <w:p w14:paraId="46B5AD78" w14:textId="77777777" w:rsidR="00EF5A94" w:rsidRPr="00EF5A94" w:rsidRDefault="00EF5A94" w:rsidP="00EF5A94">
            <w:pPr>
              <w:rPr>
                <w:rFonts w:ascii="Calibri" w:hAnsi="Calibri" w:cs="Times New Roman"/>
              </w:rPr>
            </w:pPr>
            <w:r w:rsidRPr="00EF5A94">
              <w:rPr>
                <w:rFonts w:ascii="Calibri" w:hAnsi="Calibri" w:cs="Times New Roman"/>
                <w:noProof/>
                <w:lang w:eastAsia="en-GB"/>
              </w:rPr>
              <w:drawing>
                <wp:inline distT="0" distB="0" distL="0" distR="0" wp14:anchorId="1CBF3B60" wp14:editId="6F55838D">
                  <wp:extent cx="2919984" cy="1780032"/>
                  <wp:effectExtent l="0" t="0" r="1397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14:paraId="4091D267" w14:textId="77777777" w:rsidR="004F417D" w:rsidRDefault="004F417D" w:rsidP="00EF5A94"/>
    <w:sectPr w:rsidR="004F4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94"/>
    <w:rsid w:val="00094C9D"/>
    <w:rsid w:val="00271786"/>
    <w:rsid w:val="0033343C"/>
    <w:rsid w:val="00412F8F"/>
    <w:rsid w:val="004F417D"/>
    <w:rsid w:val="00500BAC"/>
    <w:rsid w:val="00630723"/>
    <w:rsid w:val="00834A07"/>
    <w:rsid w:val="00EE2CEF"/>
    <w:rsid w:val="00EF5A94"/>
    <w:rsid w:val="00FA6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D912"/>
  <w15:chartTrackingRefBased/>
  <w15:docId w15:val="{5BD7315A-01A5-4ADA-A43A-A2789F40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EF5A94"/>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Dropbox\EMERALD\Emerald%20OHT%20projections\2015%20projections\Excel%20results%20files\Copy%20of%20OHT%20reporting%20Ethiopia%2014%20Aug%202015%20-%20M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ropbox\EMERALD\Emerald%20OHT%20projections\2015%20projections\Excel%20results%20files\Copy%20of%20OHT%20reporting%20Ethiopia%2014%20Aug%202015%20-%20MH.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Costs of scaling up</a:t>
            </a:r>
          </a:p>
        </c:rich>
      </c:tx>
      <c:overlay val="0"/>
    </c:title>
    <c:autoTitleDeleted val="0"/>
    <c:plotArea>
      <c:layout/>
      <c:areaChart>
        <c:grouping val="stacked"/>
        <c:varyColors val="0"/>
        <c:ser>
          <c:idx val="0"/>
          <c:order val="0"/>
          <c:tx>
            <c:strRef>
              <c:f>SUMMARY!$B$37</c:f>
              <c:strCache>
                <c:ptCount val="1"/>
                <c:pt idx="0">
                  <c:v>Psychosis</c:v>
                </c:pt>
              </c:strCache>
            </c:strRef>
          </c:tx>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SUMMARY!$C$37:$I$37</c:f>
              <c:numCache>
                <c:formatCode>_-"$"* #,##0_-;\-"$"* #,##0_-;_-"$"* "-"??_-;_-@_-</c:formatCode>
                <c:ptCount val="7"/>
                <c:pt idx="0">
                  <c:v>93959.673594220585</c:v>
                </c:pt>
                <c:pt idx="1">
                  <c:v>309072.52640425263</c:v>
                </c:pt>
                <c:pt idx="2">
                  <c:v>516826.98112898075</c:v>
                </c:pt>
                <c:pt idx="3">
                  <c:v>715048.62859766651</c:v>
                </c:pt>
                <c:pt idx="4">
                  <c:v>901371.7088309722</c:v>
                </c:pt>
                <c:pt idx="5">
                  <c:v>1073248.2229236448</c:v>
                </c:pt>
                <c:pt idx="6">
                  <c:v>1228067.791971924</c:v>
                </c:pt>
              </c:numCache>
            </c:numRef>
          </c:val>
          <c:extLst>
            <c:ext xmlns:c16="http://schemas.microsoft.com/office/drawing/2014/chart" uri="{C3380CC4-5D6E-409C-BE32-E72D297353CC}">
              <c16:uniqueId val="{00000000-B1E3-435D-BC8A-A94E79891A5E}"/>
            </c:ext>
          </c:extLst>
        </c:ser>
        <c:ser>
          <c:idx val="1"/>
          <c:order val="1"/>
          <c:tx>
            <c:strRef>
              <c:f>SUMMARY!$B$38</c:f>
              <c:strCache>
                <c:ptCount val="1"/>
                <c:pt idx="0">
                  <c:v>Depression </c:v>
                </c:pt>
              </c:strCache>
            </c:strRef>
          </c:tx>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SUMMARY!$C$38:$I$38</c:f>
              <c:numCache>
                <c:formatCode>_-"$"* #,##0_-;\-"$"* #,##0_-;_-"$"* "-"??_-;_-@_-</c:formatCode>
                <c:ptCount val="7"/>
                <c:pt idx="0">
                  <c:v>86066.486357880218</c:v>
                </c:pt>
                <c:pt idx="1">
                  <c:v>840062.79233130731</c:v>
                </c:pt>
                <c:pt idx="2">
                  <c:v>1626236.0459909313</c:v>
                </c:pt>
                <c:pt idx="3">
                  <c:v>2444093.5320998565</c:v>
                </c:pt>
                <c:pt idx="4">
                  <c:v>3293262.0783470254</c:v>
                </c:pt>
                <c:pt idx="5">
                  <c:v>4173728.3632703209</c:v>
                </c:pt>
                <c:pt idx="6">
                  <c:v>5087734.515987372</c:v>
                </c:pt>
              </c:numCache>
            </c:numRef>
          </c:val>
          <c:extLst>
            <c:ext xmlns:c16="http://schemas.microsoft.com/office/drawing/2014/chart" uri="{C3380CC4-5D6E-409C-BE32-E72D297353CC}">
              <c16:uniqueId val="{00000001-B1E3-435D-BC8A-A94E79891A5E}"/>
            </c:ext>
          </c:extLst>
        </c:ser>
        <c:ser>
          <c:idx val="2"/>
          <c:order val="2"/>
          <c:tx>
            <c:strRef>
              <c:f>SUMMARY!$B$39</c:f>
              <c:strCache>
                <c:ptCount val="1"/>
                <c:pt idx="0">
                  <c:v>Bipolar disorder</c:v>
                </c:pt>
              </c:strCache>
            </c:strRef>
          </c:tx>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SUMMARY!$C$39:$I$39</c:f>
            </c:numRef>
          </c:val>
          <c:extLst>
            <c:ext xmlns:c16="http://schemas.microsoft.com/office/drawing/2014/chart" uri="{C3380CC4-5D6E-409C-BE32-E72D297353CC}">
              <c16:uniqueId val="{00000002-B1E3-435D-BC8A-A94E79891A5E}"/>
            </c:ext>
          </c:extLst>
        </c:ser>
        <c:ser>
          <c:idx val="4"/>
          <c:order val="3"/>
          <c:tx>
            <c:strRef>
              <c:f>SUMMARY!$B$40</c:f>
              <c:strCache>
                <c:ptCount val="1"/>
                <c:pt idx="0">
                  <c:v>Epilepsy</c:v>
                </c:pt>
              </c:strCache>
            </c:strRef>
          </c:tx>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SUMMARY!$C$40:$I$40</c:f>
              <c:numCache>
                <c:formatCode>_-"$"* #,##0_-;\-"$"* #,##0_-;_-"$"* "-"??_-;_-@_-</c:formatCode>
                <c:ptCount val="7"/>
                <c:pt idx="0">
                  <c:v>10338192.764951147</c:v>
                </c:pt>
                <c:pt idx="1">
                  <c:v>14392601.355912922</c:v>
                </c:pt>
                <c:pt idx="2">
                  <c:v>18489858.261277251</c:v>
                </c:pt>
                <c:pt idx="3">
                  <c:v>22644822.989139691</c:v>
                </c:pt>
                <c:pt idx="4">
                  <c:v>26871423.630692571</c:v>
                </c:pt>
                <c:pt idx="5">
                  <c:v>31159022.197941437</c:v>
                </c:pt>
                <c:pt idx="6">
                  <c:v>35511940.256107599</c:v>
                </c:pt>
              </c:numCache>
            </c:numRef>
          </c:val>
          <c:extLst>
            <c:ext xmlns:c16="http://schemas.microsoft.com/office/drawing/2014/chart" uri="{C3380CC4-5D6E-409C-BE32-E72D297353CC}">
              <c16:uniqueId val="{00000003-B1E3-435D-BC8A-A94E79891A5E}"/>
            </c:ext>
          </c:extLst>
        </c:ser>
        <c:ser>
          <c:idx val="5"/>
          <c:order val="4"/>
          <c:tx>
            <c:strRef>
              <c:f>SUMMARY!$B$41</c:f>
              <c:strCache>
                <c:ptCount val="1"/>
                <c:pt idx="0">
                  <c:v>Alcohol dependence</c:v>
                </c:pt>
              </c:strCache>
            </c:strRef>
          </c:tx>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SUMMARY!$C$41:$I$41</c:f>
            </c:numRef>
          </c:val>
          <c:extLst>
            <c:ext xmlns:c16="http://schemas.microsoft.com/office/drawing/2014/chart" uri="{C3380CC4-5D6E-409C-BE32-E72D297353CC}">
              <c16:uniqueId val="{00000004-B1E3-435D-BC8A-A94E79891A5E}"/>
            </c:ext>
          </c:extLst>
        </c:ser>
        <c:ser>
          <c:idx val="6"/>
          <c:order val="5"/>
          <c:tx>
            <c:strRef>
              <c:f>SUMMARY!$B$42</c:f>
              <c:strCache>
                <c:ptCount val="1"/>
                <c:pt idx="0">
                  <c:v>Programme costs (non-disease specific)</c:v>
                </c:pt>
              </c:strCache>
            </c:strRef>
          </c:tx>
          <c:spPr>
            <a:ln w="25400">
              <a:noFill/>
            </a:ln>
          </c:spPr>
          <c:cat>
            <c:numRef>
              <c:f>SUMMARY!$C$36:$I$36</c:f>
              <c:numCache>
                <c:formatCode>General</c:formatCode>
                <c:ptCount val="7"/>
                <c:pt idx="0">
                  <c:v>2014</c:v>
                </c:pt>
                <c:pt idx="1">
                  <c:v>2015</c:v>
                </c:pt>
                <c:pt idx="2">
                  <c:v>2016</c:v>
                </c:pt>
                <c:pt idx="3">
                  <c:v>2017</c:v>
                </c:pt>
                <c:pt idx="4">
                  <c:v>2018</c:v>
                </c:pt>
                <c:pt idx="5">
                  <c:v>2019</c:v>
                </c:pt>
                <c:pt idx="6">
                  <c:v>2020</c:v>
                </c:pt>
              </c:numCache>
            </c:numRef>
          </c:cat>
          <c:val>
            <c:numRef>
              <c:f>SUMMARY!$C$42:$I$42</c:f>
              <c:numCache>
                <c:formatCode>_-"$"* #,##0_-;\-"$"* #,##0_-;_-"$"* "-"??_-;_-@_-</c:formatCode>
                <c:ptCount val="7"/>
                <c:pt idx="0">
                  <c:v>274838.18155213905</c:v>
                </c:pt>
                <c:pt idx="1">
                  <c:v>452686.63328882359</c:v>
                </c:pt>
                <c:pt idx="2">
                  <c:v>528498.3979707486</c:v>
                </c:pt>
                <c:pt idx="3">
                  <c:v>1092864.1731914973</c:v>
                </c:pt>
                <c:pt idx="4">
                  <c:v>1470666.4190418718</c:v>
                </c:pt>
                <c:pt idx="5">
                  <c:v>1953656.7931932623</c:v>
                </c:pt>
                <c:pt idx="6">
                  <c:v>2276299.5738557754</c:v>
                </c:pt>
              </c:numCache>
            </c:numRef>
          </c:val>
          <c:extLst>
            <c:ext xmlns:c16="http://schemas.microsoft.com/office/drawing/2014/chart" uri="{C3380CC4-5D6E-409C-BE32-E72D297353CC}">
              <c16:uniqueId val="{00000005-B1E3-435D-BC8A-A94E79891A5E}"/>
            </c:ext>
          </c:extLst>
        </c:ser>
        <c:dLbls>
          <c:showLegendKey val="0"/>
          <c:showVal val="0"/>
          <c:showCatName val="0"/>
          <c:showSerName val="0"/>
          <c:showPercent val="0"/>
          <c:showBubbleSize val="0"/>
        </c:dLbls>
        <c:dropLines/>
        <c:axId val="907608608"/>
        <c:axId val="907610784"/>
      </c:areaChart>
      <c:catAx>
        <c:axId val="907608608"/>
        <c:scaling>
          <c:orientation val="minMax"/>
        </c:scaling>
        <c:delete val="0"/>
        <c:axPos val="b"/>
        <c:numFmt formatCode="General" sourceLinked="1"/>
        <c:majorTickMark val="none"/>
        <c:minorTickMark val="none"/>
        <c:tickLblPos val="nextTo"/>
        <c:crossAx val="907610784"/>
        <c:crosses val="autoZero"/>
        <c:auto val="1"/>
        <c:lblAlgn val="ctr"/>
        <c:lblOffset val="100"/>
        <c:noMultiLvlLbl val="0"/>
      </c:catAx>
      <c:valAx>
        <c:axId val="907610784"/>
        <c:scaling>
          <c:orientation val="minMax"/>
        </c:scaling>
        <c:delete val="0"/>
        <c:axPos val="l"/>
        <c:majorGridlines/>
        <c:numFmt formatCode="_-&quot;$&quot;* #,##0_-;\-&quot;$&quot;* #,##0_-;_-&quot;$&quot;* &quot;-&quot;??_-;_-@_-" sourceLinked="1"/>
        <c:majorTickMark val="none"/>
        <c:minorTickMark val="none"/>
        <c:tickLblPos val="nextTo"/>
        <c:crossAx val="907608608"/>
        <c:crosses val="autoZero"/>
        <c:crossBetween val="midCat"/>
      </c:valAx>
    </c:plotArea>
    <c:legend>
      <c:legendPos val="b"/>
      <c:overlay val="0"/>
    </c:legend>
    <c:plotVisOnly val="1"/>
    <c:dispBlanksAs val="zero"/>
    <c:showDLblsOverMax val="0"/>
  </c:chart>
  <c:txPr>
    <a:bodyPr/>
    <a:lstStyle/>
    <a:p>
      <a:pPr>
        <a:defRPr sz="7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Healthy life years gained</a:t>
            </a:r>
          </a:p>
        </c:rich>
      </c:tx>
      <c:overlay val="0"/>
    </c:title>
    <c:autoTitleDeleted val="0"/>
    <c:plotArea>
      <c:layout/>
      <c:areaChart>
        <c:grouping val="stacked"/>
        <c:varyColors val="0"/>
        <c:ser>
          <c:idx val="0"/>
          <c:order val="0"/>
          <c:tx>
            <c:strRef>
              <c:f>SUMMARY!$B$56</c:f>
              <c:strCache>
                <c:ptCount val="1"/>
                <c:pt idx="0">
                  <c:v>Psychosis</c:v>
                </c:pt>
              </c:strCache>
            </c:strRef>
          </c:tx>
          <c:cat>
            <c:numRef>
              <c:f>SUMMARY!$C$55:$I$55</c:f>
              <c:numCache>
                <c:formatCode>General</c:formatCode>
                <c:ptCount val="7"/>
                <c:pt idx="0">
                  <c:v>2014</c:v>
                </c:pt>
                <c:pt idx="1">
                  <c:v>2015</c:v>
                </c:pt>
                <c:pt idx="2">
                  <c:v>2016</c:v>
                </c:pt>
                <c:pt idx="3">
                  <c:v>2017</c:v>
                </c:pt>
                <c:pt idx="4">
                  <c:v>2018</c:v>
                </c:pt>
                <c:pt idx="5">
                  <c:v>2019</c:v>
                </c:pt>
                <c:pt idx="6">
                  <c:v>2020</c:v>
                </c:pt>
              </c:numCache>
            </c:numRef>
          </c:cat>
          <c:val>
            <c:numRef>
              <c:f>SUMMARY!$C$56:$I$56</c:f>
              <c:numCache>
                <c:formatCode>_-* #,##0_-;\-* #,##0_-;_-* "-"??_-;_-@_-</c:formatCode>
                <c:ptCount val="7"/>
                <c:pt idx="0">
                  <c:v>0</c:v>
                </c:pt>
                <c:pt idx="1">
                  <c:v>983</c:v>
                </c:pt>
                <c:pt idx="2">
                  <c:v>2047</c:v>
                </c:pt>
                <c:pt idx="3">
                  <c:v>3199</c:v>
                </c:pt>
                <c:pt idx="4">
                  <c:v>4443</c:v>
                </c:pt>
                <c:pt idx="5">
                  <c:v>5769</c:v>
                </c:pt>
                <c:pt idx="6">
                  <c:v>7186</c:v>
                </c:pt>
              </c:numCache>
            </c:numRef>
          </c:val>
          <c:extLst>
            <c:ext xmlns:c16="http://schemas.microsoft.com/office/drawing/2014/chart" uri="{C3380CC4-5D6E-409C-BE32-E72D297353CC}">
              <c16:uniqueId val="{00000000-D81C-445B-B636-2B74386A1807}"/>
            </c:ext>
          </c:extLst>
        </c:ser>
        <c:ser>
          <c:idx val="1"/>
          <c:order val="1"/>
          <c:tx>
            <c:strRef>
              <c:f>SUMMARY!$B$57</c:f>
              <c:strCache>
                <c:ptCount val="1"/>
                <c:pt idx="0">
                  <c:v>Depression</c:v>
                </c:pt>
              </c:strCache>
            </c:strRef>
          </c:tx>
          <c:cat>
            <c:numRef>
              <c:f>SUMMARY!$C$55:$I$55</c:f>
              <c:numCache>
                <c:formatCode>General</c:formatCode>
                <c:ptCount val="7"/>
                <c:pt idx="0">
                  <c:v>2014</c:v>
                </c:pt>
                <c:pt idx="1">
                  <c:v>2015</c:v>
                </c:pt>
                <c:pt idx="2">
                  <c:v>2016</c:v>
                </c:pt>
                <c:pt idx="3">
                  <c:v>2017</c:v>
                </c:pt>
                <c:pt idx="4">
                  <c:v>2018</c:v>
                </c:pt>
                <c:pt idx="5">
                  <c:v>2019</c:v>
                </c:pt>
                <c:pt idx="6">
                  <c:v>2020</c:v>
                </c:pt>
              </c:numCache>
            </c:numRef>
          </c:cat>
          <c:val>
            <c:numRef>
              <c:f>SUMMARY!$C$57:$I$57</c:f>
              <c:numCache>
                <c:formatCode>_-* #,##0_-;\-* #,##0_-;_-* "-"??_-;_-@_-</c:formatCode>
                <c:ptCount val="7"/>
                <c:pt idx="0">
                  <c:v>0</c:v>
                </c:pt>
                <c:pt idx="1">
                  <c:v>7329</c:v>
                </c:pt>
                <c:pt idx="2">
                  <c:v>15941</c:v>
                </c:pt>
                <c:pt idx="3">
                  <c:v>25283</c:v>
                </c:pt>
                <c:pt idx="4">
                  <c:v>35278</c:v>
                </c:pt>
                <c:pt idx="5">
                  <c:v>45919</c:v>
                </c:pt>
                <c:pt idx="6">
                  <c:v>57202</c:v>
                </c:pt>
              </c:numCache>
            </c:numRef>
          </c:val>
          <c:extLst>
            <c:ext xmlns:c16="http://schemas.microsoft.com/office/drawing/2014/chart" uri="{C3380CC4-5D6E-409C-BE32-E72D297353CC}">
              <c16:uniqueId val="{00000001-D81C-445B-B636-2B74386A1807}"/>
            </c:ext>
          </c:extLst>
        </c:ser>
        <c:ser>
          <c:idx val="3"/>
          <c:order val="2"/>
          <c:tx>
            <c:strRef>
              <c:f>SUMMARY!$B$59</c:f>
              <c:strCache>
                <c:ptCount val="1"/>
                <c:pt idx="0">
                  <c:v>Epilepsy</c:v>
                </c:pt>
              </c:strCache>
            </c:strRef>
          </c:tx>
          <c:cat>
            <c:numRef>
              <c:f>SUMMARY!$C$55:$I$55</c:f>
              <c:numCache>
                <c:formatCode>General</c:formatCode>
                <c:ptCount val="7"/>
                <c:pt idx="0">
                  <c:v>2014</c:v>
                </c:pt>
                <c:pt idx="1">
                  <c:v>2015</c:v>
                </c:pt>
                <c:pt idx="2">
                  <c:v>2016</c:v>
                </c:pt>
                <c:pt idx="3">
                  <c:v>2017</c:v>
                </c:pt>
                <c:pt idx="4">
                  <c:v>2018</c:v>
                </c:pt>
                <c:pt idx="5">
                  <c:v>2019</c:v>
                </c:pt>
                <c:pt idx="6">
                  <c:v>2020</c:v>
                </c:pt>
              </c:numCache>
            </c:numRef>
          </c:cat>
          <c:val>
            <c:numRef>
              <c:f>SUMMARY!$C$59:$I$59</c:f>
              <c:numCache>
                <c:formatCode>_-* #,##0_-;\-* #,##0_-;_-* "-"??_-;_-@_-</c:formatCode>
                <c:ptCount val="7"/>
                <c:pt idx="0">
                  <c:v>0</c:v>
                </c:pt>
                <c:pt idx="1">
                  <c:v>5702</c:v>
                </c:pt>
                <c:pt idx="2">
                  <c:v>10474</c:v>
                </c:pt>
                <c:pt idx="3">
                  <c:v>14432</c:v>
                </c:pt>
                <c:pt idx="4">
                  <c:v>17671</c:v>
                </c:pt>
                <c:pt idx="5">
                  <c:v>20212</c:v>
                </c:pt>
                <c:pt idx="6">
                  <c:v>22107</c:v>
                </c:pt>
              </c:numCache>
            </c:numRef>
          </c:val>
          <c:extLst>
            <c:ext xmlns:c16="http://schemas.microsoft.com/office/drawing/2014/chart" uri="{C3380CC4-5D6E-409C-BE32-E72D297353CC}">
              <c16:uniqueId val="{00000002-D81C-445B-B636-2B74386A1807}"/>
            </c:ext>
          </c:extLst>
        </c:ser>
        <c:dLbls>
          <c:showLegendKey val="0"/>
          <c:showVal val="0"/>
          <c:showCatName val="0"/>
          <c:showSerName val="0"/>
          <c:showPercent val="0"/>
          <c:showBubbleSize val="0"/>
        </c:dLbls>
        <c:dropLines/>
        <c:axId val="744734512"/>
        <c:axId val="744738864"/>
      </c:areaChart>
      <c:catAx>
        <c:axId val="744734512"/>
        <c:scaling>
          <c:orientation val="minMax"/>
        </c:scaling>
        <c:delete val="0"/>
        <c:axPos val="b"/>
        <c:numFmt formatCode="General" sourceLinked="1"/>
        <c:majorTickMark val="none"/>
        <c:minorTickMark val="none"/>
        <c:tickLblPos val="nextTo"/>
        <c:crossAx val="744738864"/>
        <c:crosses val="autoZero"/>
        <c:auto val="1"/>
        <c:lblAlgn val="ctr"/>
        <c:lblOffset val="100"/>
        <c:noMultiLvlLbl val="0"/>
      </c:catAx>
      <c:valAx>
        <c:axId val="744738864"/>
        <c:scaling>
          <c:orientation val="minMax"/>
        </c:scaling>
        <c:delete val="0"/>
        <c:axPos val="l"/>
        <c:majorGridlines/>
        <c:numFmt formatCode="_-* #,##0_-;\-* #,##0_-;_-* &quot;-&quot;??_-;_-@_-" sourceLinked="1"/>
        <c:majorTickMark val="none"/>
        <c:minorTickMark val="none"/>
        <c:tickLblPos val="nextTo"/>
        <c:crossAx val="744734512"/>
        <c:crosses val="autoZero"/>
        <c:crossBetween val="midCat"/>
      </c:valAx>
    </c:plotArea>
    <c:legend>
      <c:legendPos val="b"/>
      <c:overlay val="0"/>
    </c:legend>
    <c:plotVisOnly val="1"/>
    <c:dispBlanksAs val="zero"/>
    <c:showDLblsOverMax val="0"/>
  </c:chart>
  <c:txPr>
    <a:bodyPr/>
    <a:lstStyle/>
    <a:p>
      <a:pPr>
        <a:defRPr sz="7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rgater</dc:creator>
  <cp:keywords/>
  <dc:description/>
  <cp:lastModifiedBy>EISENSTADT, Kevin</cp:lastModifiedBy>
  <cp:revision>7</cp:revision>
  <dcterms:created xsi:type="dcterms:W3CDTF">2022-11-01T13:50:00Z</dcterms:created>
  <dcterms:modified xsi:type="dcterms:W3CDTF">2022-11-29T13:05:00Z</dcterms:modified>
</cp:coreProperties>
</file>