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E283" w14:textId="4E2083CA" w:rsidR="004300F4" w:rsidRDefault="004300F4" w:rsidP="008B361C">
      <w:pPr>
        <w:pStyle w:val="Heading1"/>
        <w:pBdr>
          <w:bottom w:val="single" w:sz="4" w:space="1" w:color="auto"/>
        </w:pBdr>
        <w:spacing w:before="0"/>
        <w:jc w:val="center"/>
      </w:pPr>
      <w:r>
        <w:t>Case study</w:t>
      </w:r>
      <w:r w:rsidR="00FE74A7">
        <w:t>: Jordan</w:t>
      </w:r>
    </w:p>
    <w:p w14:paraId="7B4D95BA" w14:textId="77777777" w:rsidR="004300F4" w:rsidRPr="00AB60C9" w:rsidRDefault="004300F4" w:rsidP="004300F4"/>
    <w:tbl>
      <w:tblPr>
        <w:tblStyle w:val="MediumShading1-Accent11"/>
        <w:tblW w:w="9242" w:type="dxa"/>
        <w:tblLook w:val="04A0" w:firstRow="1" w:lastRow="0" w:firstColumn="1" w:lastColumn="0" w:noHBand="0" w:noVBand="1"/>
      </w:tblPr>
      <w:tblGrid>
        <w:gridCol w:w="9242"/>
      </w:tblGrid>
      <w:tr w:rsidR="004300F4" w14:paraId="493CBDF4" w14:textId="77777777" w:rsidTr="003F4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A75EE1D" w14:textId="77777777" w:rsidR="004300F4" w:rsidRDefault="008B361C" w:rsidP="00BB0D7C">
            <w:pPr>
              <w:spacing w:beforeLines="40" w:before="96" w:afterLines="40" w:after="96"/>
            </w:pPr>
            <w:r>
              <w:t xml:space="preserve">Title of the case study </w:t>
            </w:r>
          </w:p>
        </w:tc>
      </w:tr>
      <w:tr w:rsidR="004300F4" w14:paraId="2D9AC0C3"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A50174D" w14:textId="77777777" w:rsidR="004300F4" w:rsidRDefault="004300F4" w:rsidP="00BB0D7C">
            <w:pPr>
              <w:spacing w:beforeLines="40" w:before="96" w:afterLines="40" w:after="96"/>
              <w:rPr>
                <w:color w:val="1F497D" w:themeColor="text2"/>
                <w:sz w:val="20"/>
                <w:szCs w:val="20"/>
              </w:rPr>
            </w:pPr>
            <w:r>
              <w:rPr>
                <w:b w:val="0"/>
                <w:color w:val="1F497D" w:themeColor="text2"/>
                <w:sz w:val="20"/>
                <w:szCs w:val="20"/>
              </w:rPr>
              <w:t>Name and email of person completing the form</w:t>
            </w:r>
          </w:p>
        </w:tc>
      </w:tr>
      <w:tr w:rsidR="004300F4" w14:paraId="038AAF59"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4E1BFE0" w14:textId="1D8D10AC" w:rsidR="004300F4" w:rsidRPr="006B4C95" w:rsidRDefault="00005F4A" w:rsidP="00005F4A">
            <w:pPr>
              <w:spacing w:beforeLines="40" w:before="96" w:afterLines="40" w:after="96"/>
              <w:rPr>
                <w:b w:val="0"/>
                <w:bCs w:val="0"/>
                <w:color w:val="1F497D" w:themeColor="text2"/>
              </w:rPr>
            </w:pPr>
            <w:r w:rsidRPr="006B4C95">
              <w:rPr>
                <w:b w:val="0"/>
                <w:bCs w:val="0"/>
                <w:color w:val="1F497D" w:themeColor="text2"/>
              </w:rPr>
              <w:t>Hadeel Al Far, National Mental Health Officer</w:t>
            </w:r>
            <w:r w:rsidR="008839A4" w:rsidRPr="006B4C95">
              <w:rPr>
                <w:b w:val="0"/>
                <w:bCs w:val="0"/>
                <w:color w:val="1F497D" w:themeColor="text2"/>
              </w:rPr>
              <w:t>,</w:t>
            </w:r>
            <w:r w:rsidRPr="006B4C95">
              <w:rPr>
                <w:b w:val="0"/>
                <w:bCs w:val="0"/>
                <w:color w:val="1F497D" w:themeColor="text2"/>
              </w:rPr>
              <w:t xml:space="preserve"> WHO Jordan </w:t>
            </w:r>
            <w:r w:rsidR="008A2F34" w:rsidRPr="006B4C95">
              <w:rPr>
                <w:b w:val="0"/>
                <w:bCs w:val="0"/>
                <w:color w:val="1F497D" w:themeColor="text2"/>
              </w:rPr>
              <w:t>country office</w:t>
            </w:r>
          </w:p>
        </w:tc>
      </w:tr>
      <w:tr w:rsidR="00921D9C" w14:paraId="0CC5A61C"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A759AEE" w14:textId="77777777" w:rsidR="00921D9C" w:rsidRDefault="00921D9C" w:rsidP="008B361C">
            <w:pPr>
              <w:spacing w:beforeLines="40" w:before="96" w:afterLines="40" w:after="96"/>
              <w:rPr>
                <w:color w:val="1F497D" w:themeColor="text2"/>
                <w:sz w:val="20"/>
                <w:szCs w:val="20"/>
              </w:rPr>
            </w:pPr>
            <w:r w:rsidRPr="00EE2C9A">
              <w:rPr>
                <w:b w:val="0"/>
                <w:color w:val="1F497D" w:themeColor="text2"/>
                <w:sz w:val="20"/>
                <w:szCs w:val="20"/>
              </w:rPr>
              <w:t xml:space="preserve">Contact details </w:t>
            </w:r>
            <w:r w:rsidR="008B361C">
              <w:rPr>
                <w:b w:val="0"/>
                <w:color w:val="1F497D" w:themeColor="text2"/>
                <w:sz w:val="20"/>
                <w:szCs w:val="20"/>
              </w:rPr>
              <w:t>for more information about the case study</w:t>
            </w:r>
          </w:p>
        </w:tc>
      </w:tr>
      <w:tr w:rsidR="00921D9C" w14:paraId="3D270E72"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5822736" w14:textId="77777777" w:rsidR="00921D9C" w:rsidRPr="008A2F34" w:rsidRDefault="00FE74A7" w:rsidP="00BB0D7C">
            <w:pPr>
              <w:spacing w:beforeLines="40" w:before="96" w:afterLines="40" w:after="96"/>
              <w:rPr>
                <w:color w:val="1F497D" w:themeColor="text2"/>
              </w:rPr>
            </w:pPr>
            <w:hyperlink r:id="rId7" w:history="1">
              <w:r w:rsidR="00005F4A" w:rsidRPr="008A2F34">
                <w:rPr>
                  <w:rStyle w:val="Hyperlink"/>
                </w:rPr>
                <w:t>alfarh@who.int</w:t>
              </w:r>
            </w:hyperlink>
            <w:r w:rsidR="00005F4A" w:rsidRPr="008A2F34">
              <w:rPr>
                <w:color w:val="1F497D" w:themeColor="text2"/>
              </w:rPr>
              <w:t xml:space="preserve"> </w:t>
            </w:r>
          </w:p>
        </w:tc>
      </w:tr>
      <w:tr w:rsidR="004300F4" w14:paraId="3067EC2F"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4F81BD" w:themeFill="accent1"/>
          </w:tcPr>
          <w:p w14:paraId="1E61FE5D" w14:textId="77777777" w:rsidR="004300F4" w:rsidRPr="00DB6B60" w:rsidRDefault="004300F4" w:rsidP="008B361C">
            <w:pPr>
              <w:spacing w:beforeLines="40" w:before="96" w:afterLines="40" w:after="96"/>
              <w:rPr>
                <w:color w:val="FFFFFF" w:themeColor="background1"/>
                <w:sz w:val="20"/>
                <w:szCs w:val="20"/>
              </w:rPr>
            </w:pPr>
            <w:r w:rsidRPr="00DB6B60">
              <w:rPr>
                <w:color w:val="FFFFFF" w:themeColor="background1"/>
                <w:sz w:val="20"/>
                <w:szCs w:val="20"/>
              </w:rPr>
              <w:t xml:space="preserve">DESCRIPTION </w:t>
            </w:r>
          </w:p>
        </w:tc>
      </w:tr>
      <w:tr w:rsidR="004300F4" w14:paraId="3E955647"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1DDC9BF8" w14:textId="1AA161D1" w:rsidR="002A1A0F" w:rsidRPr="006B4C95" w:rsidRDefault="002C5E8B" w:rsidP="00412424">
            <w:pPr>
              <w:tabs>
                <w:tab w:val="num" w:pos="720"/>
              </w:tabs>
              <w:spacing w:beforeLines="40" w:before="96" w:afterLines="40" w:after="96"/>
              <w:rPr>
                <w:rFonts w:ascii="Calibri" w:eastAsia="Times New Roman" w:hAnsi="Calibri" w:cs="Calibri"/>
                <w:b w:val="0"/>
                <w:color w:val="1F497D" w:themeColor="text2"/>
                <w:sz w:val="20"/>
                <w:szCs w:val="20"/>
                <w:lang w:val="en-US" w:eastAsia="en-GB"/>
              </w:rPr>
            </w:pPr>
            <w:r w:rsidRPr="006B4C95">
              <w:rPr>
                <w:rFonts w:ascii="Calibri" w:eastAsia="Times New Roman" w:hAnsi="Calibri" w:cs="Calibri"/>
                <w:b w:val="0"/>
                <w:bCs w:val="0"/>
                <w:color w:val="1F497D" w:themeColor="text2"/>
                <w:sz w:val="20"/>
                <w:szCs w:val="20"/>
                <w:lang w:eastAsia="en-GB"/>
              </w:rPr>
              <w:t>Briefly describe the</w:t>
            </w:r>
            <w:r w:rsidR="00412424" w:rsidRPr="006B4C95">
              <w:rPr>
                <w:rFonts w:ascii="Calibri" w:eastAsia="Times New Roman" w:hAnsi="Calibri" w:cs="Calibri"/>
                <w:b w:val="0"/>
                <w:bCs w:val="0"/>
                <w:color w:val="1F497D" w:themeColor="text2"/>
                <w:sz w:val="20"/>
                <w:szCs w:val="20"/>
                <w:lang w:eastAsia="en-GB"/>
              </w:rPr>
              <w:t xml:space="preserve"> organization of </w:t>
            </w:r>
            <w:r w:rsidR="003A5B46" w:rsidRPr="006B4C95">
              <w:rPr>
                <w:rFonts w:ascii="Calibri" w:eastAsia="Times New Roman" w:hAnsi="Calibri" w:cs="Calibri"/>
                <w:b w:val="0"/>
                <w:bCs w:val="0"/>
                <w:color w:val="1F497D" w:themeColor="text2"/>
                <w:sz w:val="20"/>
                <w:szCs w:val="20"/>
                <w:lang w:eastAsia="en-GB"/>
              </w:rPr>
              <w:t>health system in your country: governance mechanisms/structures (health policies/strategies/plans, legislation</w:t>
            </w:r>
            <w:r w:rsidR="00F27316" w:rsidRPr="006B4C95">
              <w:rPr>
                <w:rFonts w:ascii="Calibri" w:eastAsia="Times New Roman" w:hAnsi="Calibri" w:cs="Calibri"/>
                <w:b w:val="0"/>
                <w:bCs w:val="0"/>
                <w:color w:val="1F497D" w:themeColor="text2"/>
                <w:sz w:val="20"/>
                <w:szCs w:val="20"/>
                <w:lang w:eastAsia="en-GB"/>
              </w:rPr>
              <w:t>,</w:t>
            </w:r>
            <w:r w:rsidR="003A5B46" w:rsidRPr="006B4C95">
              <w:rPr>
                <w:rFonts w:ascii="Calibri" w:eastAsia="Times New Roman" w:hAnsi="Calibri" w:cs="Calibri"/>
                <w:b w:val="0"/>
                <w:bCs w:val="0"/>
                <w:color w:val="1F497D" w:themeColor="text2"/>
                <w:sz w:val="20"/>
                <w:szCs w:val="20"/>
                <w:lang w:eastAsia="en-GB"/>
              </w:rPr>
              <w:t xml:space="preserve"> etc</w:t>
            </w:r>
            <w:r w:rsidR="00F27316" w:rsidRPr="006B4C95">
              <w:rPr>
                <w:rFonts w:ascii="Calibri" w:eastAsia="Times New Roman" w:hAnsi="Calibri" w:cs="Calibri"/>
                <w:b w:val="0"/>
                <w:bCs w:val="0"/>
                <w:color w:val="1F497D" w:themeColor="text2"/>
                <w:sz w:val="20"/>
                <w:szCs w:val="20"/>
                <w:lang w:eastAsia="en-GB"/>
              </w:rPr>
              <w:t>.</w:t>
            </w:r>
            <w:r w:rsidR="003A5B46" w:rsidRPr="006B4C95">
              <w:rPr>
                <w:rFonts w:ascii="Calibri" w:eastAsia="Times New Roman" w:hAnsi="Calibri" w:cs="Calibri"/>
                <w:b w:val="0"/>
                <w:bCs w:val="0"/>
                <w:color w:val="1F497D" w:themeColor="text2"/>
                <w:sz w:val="20"/>
                <w:szCs w:val="20"/>
                <w:lang w:eastAsia="en-GB"/>
              </w:rPr>
              <w:t>), financing mechanisms, human resources (their density,</w:t>
            </w:r>
            <w:r w:rsidR="00F27316" w:rsidRPr="006B4C95">
              <w:rPr>
                <w:rFonts w:ascii="Calibri" w:eastAsia="Times New Roman" w:hAnsi="Calibri" w:cs="Calibri"/>
                <w:b w:val="0"/>
                <w:bCs w:val="0"/>
                <w:color w:val="1F497D" w:themeColor="text2"/>
                <w:sz w:val="20"/>
                <w:szCs w:val="20"/>
                <w:lang w:eastAsia="en-GB"/>
              </w:rPr>
              <w:t xml:space="preserve"> </w:t>
            </w:r>
            <w:r w:rsidR="003A5B46" w:rsidRPr="006B4C95">
              <w:rPr>
                <w:rFonts w:ascii="Calibri" w:eastAsia="Times New Roman" w:hAnsi="Calibri" w:cs="Calibri"/>
                <w:b w:val="0"/>
                <w:bCs w:val="0"/>
                <w:color w:val="1F497D" w:themeColor="text2"/>
                <w:sz w:val="20"/>
                <w:szCs w:val="20"/>
                <w:lang w:eastAsia="en-GB"/>
              </w:rPr>
              <w:t>distribution)</w:t>
            </w:r>
            <w:r w:rsidR="00F27316" w:rsidRPr="006B4C95">
              <w:rPr>
                <w:rFonts w:ascii="Calibri" w:eastAsia="Times New Roman" w:hAnsi="Calibri" w:cs="Calibri"/>
                <w:b w:val="0"/>
                <w:bCs w:val="0"/>
                <w:color w:val="1F497D" w:themeColor="text2"/>
                <w:sz w:val="20"/>
                <w:szCs w:val="20"/>
                <w:lang w:eastAsia="en-GB"/>
              </w:rPr>
              <w:t>,</w:t>
            </w:r>
            <w:r w:rsidR="003A5B46" w:rsidRPr="006B4C95">
              <w:rPr>
                <w:rFonts w:ascii="Calibri" w:eastAsia="Times New Roman" w:hAnsi="Calibri" w:cs="Calibri"/>
                <w:b w:val="0"/>
                <w:bCs w:val="0"/>
                <w:color w:val="1F497D" w:themeColor="text2"/>
                <w:sz w:val="20"/>
                <w:szCs w:val="20"/>
                <w:lang w:eastAsia="en-GB"/>
              </w:rPr>
              <w:t xml:space="preserve"> availability of service delivery packages (what are the preventive, curative and rehabilitative/palliative services included in the package), information system organization (core set of indicators, standard collection, collation, analysis and reporting mechanisms)</w:t>
            </w:r>
          </w:p>
          <w:p w14:paraId="33584B37" w14:textId="78987D36" w:rsidR="00FD71FC" w:rsidRPr="008A2F34" w:rsidRDefault="00525EA9" w:rsidP="00525EA9">
            <w:pPr>
              <w:spacing w:beforeLines="40" w:before="96" w:afterLines="40" w:after="96"/>
              <w:rPr>
                <w:rFonts w:ascii="Calibri" w:eastAsia="SimSun" w:hAnsi="Calibri" w:cs="Arial"/>
                <w:b w:val="0"/>
                <w:bCs w:val="0"/>
                <w:lang w:val="en-US" w:eastAsia="zh-CN"/>
              </w:rPr>
            </w:pPr>
            <w:r w:rsidRPr="008A2F34">
              <w:rPr>
                <w:rFonts w:ascii="Calibri" w:eastAsia="SimSun" w:hAnsi="Calibri" w:cs="Arial"/>
                <w:b w:val="0"/>
                <w:bCs w:val="0"/>
                <w:lang w:val="en-US" w:eastAsia="zh-CN"/>
              </w:rPr>
              <w:t xml:space="preserve">The health system in Jordan is composed of multiple main health care providers at which individuals may seek services, often overlapping. It is estimated that approximately 60% of the general population is served by public facilities administrated by the Ministry of Health, with the Royal Medical Services (military sector) serving around 40%, the private sector being accessed by about 50%, university sector serving about 5%, and over 1.6 million Palestinian refugees receiving primary health care </w:t>
            </w:r>
            <w:r w:rsidR="00F27316">
              <w:rPr>
                <w:rFonts w:ascii="Calibri" w:eastAsia="SimSun" w:hAnsi="Calibri" w:cs="Arial"/>
                <w:b w:val="0"/>
                <w:bCs w:val="0"/>
                <w:lang w:val="en-US" w:eastAsia="zh-CN"/>
              </w:rPr>
              <w:t>from</w:t>
            </w:r>
            <w:r w:rsidRPr="008A2F34">
              <w:rPr>
                <w:rFonts w:ascii="Calibri" w:eastAsia="SimSun" w:hAnsi="Calibri" w:cs="Arial"/>
                <w:b w:val="0"/>
                <w:bCs w:val="0"/>
                <w:lang w:val="en-US" w:eastAsia="zh-CN"/>
              </w:rPr>
              <w:t xml:space="preserve"> the United Nationals Relief and Works Agency (UNRWA). It is common for a citizen to use more than one health provider, or to be ensured under more than one health insurance program</w:t>
            </w:r>
            <w:r w:rsidR="003A1274">
              <w:rPr>
                <w:rFonts w:ascii="Calibri" w:eastAsia="SimSun" w:hAnsi="Calibri" w:cs="Arial"/>
                <w:b w:val="0"/>
                <w:bCs w:val="0"/>
                <w:lang w:val="en-US" w:eastAsia="zh-CN"/>
              </w:rPr>
              <w:t>me</w:t>
            </w:r>
            <w:r w:rsidRPr="008A2F34">
              <w:rPr>
                <w:rFonts w:ascii="Calibri" w:eastAsia="SimSun" w:hAnsi="Calibri" w:cs="Arial"/>
                <w:b w:val="0"/>
                <w:bCs w:val="0"/>
                <w:lang w:val="en-US" w:eastAsia="zh-CN"/>
              </w:rPr>
              <w:t xml:space="preserve">. </w:t>
            </w:r>
          </w:p>
          <w:p w14:paraId="086482CB" w14:textId="4112AB08" w:rsidR="00525EA9" w:rsidRPr="008A2F34" w:rsidRDefault="00525EA9" w:rsidP="00525EA9">
            <w:pPr>
              <w:spacing w:beforeLines="40" w:before="96" w:afterLines="40" w:after="96"/>
              <w:rPr>
                <w:rFonts w:ascii="Calibri" w:eastAsia="SimSun" w:hAnsi="Calibri" w:cs="Arial"/>
                <w:b w:val="0"/>
                <w:bCs w:val="0"/>
                <w:lang w:val="en-GB" w:eastAsia="zh-CN"/>
              </w:rPr>
            </w:pPr>
            <w:r w:rsidRPr="008A2F34">
              <w:rPr>
                <w:rFonts w:ascii="Calibri" w:eastAsia="SimSun" w:hAnsi="Calibri" w:cs="Arial"/>
                <w:b w:val="0"/>
                <w:bCs w:val="0"/>
                <w:lang w:val="en-GB" w:eastAsia="zh-CN"/>
              </w:rPr>
              <w:t xml:space="preserve">The major entity that finances and delivers public health care is the </w:t>
            </w:r>
            <w:r w:rsidR="00D3459D" w:rsidRPr="008A2F34">
              <w:rPr>
                <w:rFonts w:ascii="Calibri" w:eastAsia="SimSun" w:hAnsi="Calibri" w:cs="Arial"/>
                <w:b w:val="0"/>
                <w:bCs w:val="0"/>
                <w:lang w:val="en-US" w:eastAsia="zh-CN"/>
              </w:rPr>
              <w:t>Ministry of Health</w:t>
            </w:r>
            <w:r w:rsidRPr="008A2F34">
              <w:rPr>
                <w:rFonts w:ascii="Calibri" w:eastAsia="SimSun" w:hAnsi="Calibri" w:cs="Arial"/>
                <w:b w:val="0"/>
                <w:bCs w:val="0"/>
                <w:lang w:val="en-GB" w:eastAsia="zh-CN"/>
              </w:rPr>
              <w:t xml:space="preserve">, which services the population through a network of 27 general hospitals, </w:t>
            </w:r>
            <w:r w:rsidR="003A1274">
              <w:rPr>
                <w:rFonts w:ascii="Calibri" w:eastAsia="SimSun" w:hAnsi="Calibri" w:cs="Arial"/>
                <w:b w:val="0"/>
                <w:bCs w:val="0"/>
                <w:lang w:val="en-GB" w:eastAsia="zh-CN"/>
              </w:rPr>
              <w:t>two</w:t>
            </w:r>
            <w:r w:rsidRPr="008A2F34">
              <w:rPr>
                <w:rFonts w:ascii="Calibri" w:eastAsia="SimSun" w:hAnsi="Calibri" w:cs="Arial"/>
                <w:b w:val="0"/>
                <w:bCs w:val="0"/>
                <w:lang w:val="en-GB" w:eastAsia="zh-CN"/>
              </w:rPr>
              <w:t xml:space="preserve"> university hospitals and 684 primary health care cent</w:t>
            </w:r>
            <w:r w:rsidR="00D3459D">
              <w:rPr>
                <w:rFonts w:ascii="Calibri" w:eastAsia="SimSun" w:hAnsi="Calibri" w:cs="Arial"/>
                <w:b w:val="0"/>
                <w:bCs w:val="0"/>
                <w:lang w:val="en-GB" w:eastAsia="zh-CN"/>
              </w:rPr>
              <w:t>re</w:t>
            </w:r>
            <w:r w:rsidRPr="008A2F34">
              <w:rPr>
                <w:rFonts w:ascii="Calibri" w:eastAsia="SimSun" w:hAnsi="Calibri" w:cs="Arial"/>
                <w:b w:val="0"/>
                <w:bCs w:val="0"/>
                <w:lang w:val="en-GB" w:eastAsia="zh-CN"/>
              </w:rPr>
              <w:t>s across the 12 governorates.</w:t>
            </w:r>
            <w:r w:rsidR="00D3459D">
              <w:rPr>
                <w:rFonts w:ascii="Calibri" w:eastAsia="SimSun" w:hAnsi="Calibri" w:cs="Arial"/>
                <w:b w:val="0"/>
                <w:bCs w:val="0"/>
                <w:lang w:val="en-GB" w:eastAsia="zh-CN"/>
              </w:rPr>
              <w:t xml:space="preserve"> </w:t>
            </w:r>
            <w:r w:rsidRPr="008A2F34">
              <w:rPr>
                <w:rFonts w:ascii="Calibri" w:eastAsia="SimSun" w:hAnsi="Calibri" w:cs="Arial"/>
                <w:b w:val="0"/>
                <w:bCs w:val="0"/>
                <w:lang w:val="en-GB" w:eastAsia="zh-CN"/>
              </w:rPr>
              <w:t>The Higher Health Council within the Jordanian government represents all health care providers and is responsible for their coordination. Representatives from the private sector, Royal Medical Services</w:t>
            </w:r>
            <w:r w:rsidR="003A1274">
              <w:rPr>
                <w:rFonts w:ascii="Calibri" w:eastAsia="SimSun" w:hAnsi="Calibri" w:cs="Arial"/>
                <w:b w:val="0"/>
                <w:bCs w:val="0"/>
                <w:lang w:val="en-GB" w:eastAsia="zh-CN"/>
              </w:rPr>
              <w:t>,</w:t>
            </w:r>
            <w:r w:rsidRPr="008A2F34">
              <w:rPr>
                <w:rFonts w:ascii="Calibri" w:eastAsia="SimSun" w:hAnsi="Calibri" w:cs="Arial"/>
                <w:b w:val="0"/>
                <w:bCs w:val="0"/>
                <w:lang w:val="en-GB" w:eastAsia="zh-CN"/>
              </w:rPr>
              <w:t xml:space="preserve"> and some NGOs participate in the development of national health policies and hold seats in public independent health organizations, such as the Jordan Medical Council, the Higher Health Council, and the Food and Drug Administration.</w:t>
            </w:r>
          </w:p>
          <w:p w14:paraId="277785D0" w14:textId="4508AD58" w:rsidR="00525EA9" w:rsidRPr="008A2F34" w:rsidRDefault="00525EA9" w:rsidP="00525EA9">
            <w:pPr>
              <w:spacing w:beforeLines="40" w:before="96" w:afterLines="40" w:after="96"/>
              <w:rPr>
                <w:rFonts w:ascii="Calibri" w:eastAsia="SimSun" w:hAnsi="Calibri" w:cs="Arial"/>
                <w:b w:val="0"/>
                <w:bCs w:val="0"/>
                <w:lang w:val="en-GB" w:eastAsia="zh-CN"/>
              </w:rPr>
            </w:pPr>
            <w:r w:rsidRPr="008A2F34">
              <w:rPr>
                <w:rFonts w:ascii="Calibri" w:eastAsia="SimSun" w:hAnsi="Calibri" w:cs="Arial"/>
                <w:b w:val="0"/>
                <w:bCs w:val="0"/>
                <w:lang w:val="en-GB" w:eastAsia="zh-CN"/>
              </w:rPr>
              <w:t>Jordan</w:t>
            </w:r>
            <w:r w:rsidR="000B6D4C">
              <w:rPr>
                <w:rFonts w:ascii="Calibri" w:eastAsia="SimSun" w:hAnsi="Calibri" w:cs="Arial"/>
                <w:b w:val="0"/>
                <w:bCs w:val="0"/>
                <w:lang w:val="en-GB" w:eastAsia="zh-CN"/>
              </w:rPr>
              <w:t>’</w:t>
            </w:r>
            <w:r w:rsidRPr="008A2F34">
              <w:rPr>
                <w:rFonts w:ascii="Calibri" w:eastAsia="SimSun" w:hAnsi="Calibri" w:cs="Arial"/>
                <w:b w:val="0"/>
                <w:bCs w:val="0"/>
                <w:lang w:val="en-GB" w:eastAsia="zh-CN"/>
              </w:rPr>
              <w:t xml:space="preserve">s total per capita expenditure on health is </w:t>
            </w:r>
            <w:r w:rsidR="00D3459D">
              <w:rPr>
                <w:rFonts w:ascii="Calibri" w:eastAsia="SimSun" w:hAnsi="Calibri" w:cs="Arial"/>
                <w:b w:val="0"/>
                <w:bCs w:val="0"/>
                <w:lang w:val="en-GB" w:eastAsia="zh-CN"/>
              </w:rPr>
              <w:t>US</w:t>
            </w:r>
            <w:r w:rsidRPr="008A2F34">
              <w:rPr>
                <w:rFonts w:ascii="Calibri" w:eastAsia="SimSun" w:hAnsi="Calibri" w:cs="Arial"/>
                <w:b w:val="0"/>
                <w:bCs w:val="0"/>
                <w:lang w:val="en-GB" w:eastAsia="zh-CN"/>
              </w:rPr>
              <w:t>$</w:t>
            </w:r>
            <w:r w:rsidR="003A1274">
              <w:rPr>
                <w:rFonts w:ascii="Calibri" w:eastAsia="SimSun" w:hAnsi="Calibri" w:cs="Arial"/>
                <w:b w:val="0"/>
                <w:bCs w:val="0"/>
                <w:lang w:val="en-GB" w:eastAsia="zh-CN"/>
              </w:rPr>
              <w:t> </w:t>
            </w:r>
            <w:r w:rsidRPr="008A2F34">
              <w:rPr>
                <w:rFonts w:ascii="Calibri" w:eastAsia="SimSun" w:hAnsi="Calibri" w:cs="Arial"/>
                <w:b w:val="0"/>
                <w:bCs w:val="0"/>
                <w:lang w:val="en-GB" w:eastAsia="zh-CN"/>
              </w:rPr>
              <w:t>336, and general governmental expenditure on health as a percentage of general governmental expenditure is 13.5%</w:t>
            </w:r>
            <w:r w:rsidR="000B6D4C">
              <w:rPr>
                <w:rFonts w:ascii="Calibri" w:eastAsia="SimSun" w:hAnsi="Calibri" w:cs="Arial"/>
                <w:b w:val="0"/>
                <w:bCs w:val="0"/>
                <w:lang w:val="en-GB" w:eastAsia="zh-CN"/>
              </w:rPr>
              <w:t>, w</w:t>
            </w:r>
            <w:r w:rsidRPr="008A2F34">
              <w:rPr>
                <w:rFonts w:ascii="Calibri" w:eastAsia="SimSun" w:hAnsi="Calibri" w:cs="Arial"/>
                <w:b w:val="0"/>
                <w:bCs w:val="0"/>
                <w:lang w:val="en-GB" w:eastAsia="zh-CN"/>
              </w:rPr>
              <w:t>hile out-of-pocket expenditure as a percentage of the total health expenditure is 23.5%</w:t>
            </w:r>
            <w:r w:rsidR="003A1274">
              <w:rPr>
                <w:rFonts w:ascii="Calibri" w:eastAsia="SimSun" w:hAnsi="Calibri" w:cs="Arial"/>
                <w:b w:val="0"/>
                <w:bCs w:val="0"/>
                <w:lang w:val="en-GB" w:eastAsia="zh-CN"/>
              </w:rPr>
              <w:t>.</w:t>
            </w:r>
            <w:r w:rsidRPr="008A2F34">
              <w:rPr>
                <w:rFonts w:ascii="Calibri" w:eastAsia="SimSun" w:hAnsi="Calibri" w:cs="Arial"/>
                <w:b w:val="0"/>
                <w:bCs w:val="0"/>
                <w:lang w:val="en-GB" w:eastAsia="zh-CN"/>
              </w:rPr>
              <w:t xml:space="preserve"> </w:t>
            </w:r>
            <w:r w:rsidR="000B6D4C">
              <w:rPr>
                <w:rFonts w:ascii="Calibri" w:eastAsia="SimSun" w:hAnsi="Calibri" w:cs="Arial"/>
                <w:b w:val="0"/>
                <w:bCs w:val="0"/>
                <w:lang w:val="en-GB" w:eastAsia="zh-CN"/>
              </w:rPr>
              <w:t>P</w:t>
            </w:r>
            <w:r w:rsidRPr="008A2F34">
              <w:rPr>
                <w:rFonts w:ascii="Calibri" w:eastAsia="SimSun" w:hAnsi="Calibri" w:cs="Arial"/>
                <w:b w:val="0"/>
                <w:bCs w:val="0"/>
                <w:lang w:val="en-GB" w:eastAsia="zh-CN"/>
              </w:rPr>
              <w:t xml:space="preserve">ublic sources of funding comprise tax revenue allocations from the Ministry of Finance to the </w:t>
            </w:r>
            <w:r w:rsidR="00D3459D" w:rsidRPr="008A2F34">
              <w:rPr>
                <w:rFonts w:ascii="Calibri" w:eastAsia="SimSun" w:hAnsi="Calibri" w:cs="Arial"/>
                <w:b w:val="0"/>
                <w:bCs w:val="0"/>
                <w:lang w:val="en-US" w:eastAsia="zh-CN"/>
              </w:rPr>
              <w:t>Ministry of Health</w:t>
            </w:r>
            <w:r w:rsidRPr="008A2F34">
              <w:rPr>
                <w:rFonts w:ascii="Calibri" w:eastAsia="SimSun" w:hAnsi="Calibri" w:cs="Arial"/>
                <w:b w:val="0"/>
                <w:bCs w:val="0"/>
                <w:lang w:val="en-GB" w:eastAsia="zh-CN"/>
              </w:rPr>
              <w:t xml:space="preserve">, </w:t>
            </w:r>
            <w:proofErr w:type="gramStart"/>
            <w:r w:rsidRPr="008A2F34">
              <w:rPr>
                <w:rFonts w:ascii="Calibri" w:eastAsia="SimSun" w:hAnsi="Calibri" w:cs="Arial"/>
                <w:b w:val="0"/>
                <w:bCs w:val="0"/>
                <w:lang w:val="en-GB" w:eastAsia="zh-CN"/>
              </w:rPr>
              <w:t>RMS</w:t>
            </w:r>
            <w:proofErr w:type="gramEnd"/>
            <w:r w:rsidRPr="008A2F34">
              <w:rPr>
                <w:rFonts w:ascii="Calibri" w:eastAsia="SimSun" w:hAnsi="Calibri" w:cs="Arial"/>
                <w:b w:val="0"/>
                <w:bCs w:val="0"/>
                <w:lang w:val="en-GB" w:eastAsia="zh-CN"/>
              </w:rPr>
              <w:t xml:space="preserve"> and </w:t>
            </w:r>
            <w:r w:rsidR="000B6D4C" w:rsidRPr="008A2F34">
              <w:rPr>
                <w:rFonts w:ascii="Calibri" w:eastAsia="SimSun" w:hAnsi="Calibri" w:cs="Arial"/>
                <w:b w:val="0"/>
                <w:bCs w:val="0"/>
                <w:lang w:val="en-GB" w:eastAsia="zh-CN"/>
              </w:rPr>
              <w:t>government university hospitals</w:t>
            </w:r>
            <w:r w:rsidRPr="008A2F34">
              <w:rPr>
                <w:rFonts w:ascii="Calibri" w:eastAsia="SimSun" w:hAnsi="Calibri" w:cs="Arial"/>
                <w:b w:val="0"/>
                <w:bCs w:val="0"/>
                <w:lang w:val="en-GB" w:eastAsia="zh-CN"/>
              </w:rPr>
              <w:t xml:space="preserve">, as well as user fees, payroll deductions, donor assistance and World Bank loans. </w:t>
            </w:r>
            <w:r w:rsidR="000B6D4C">
              <w:rPr>
                <w:rFonts w:ascii="Calibri" w:eastAsia="SimSun" w:hAnsi="Calibri" w:cs="Arial"/>
                <w:b w:val="0"/>
                <w:bCs w:val="0"/>
                <w:lang w:val="en-GB" w:eastAsia="zh-CN"/>
              </w:rPr>
              <w:t>P</w:t>
            </w:r>
            <w:r w:rsidRPr="008A2F34">
              <w:rPr>
                <w:rFonts w:ascii="Calibri" w:eastAsia="SimSun" w:hAnsi="Calibri" w:cs="Arial"/>
                <w:b w:val="0"/>
                <w:bCs w:val="0"/>
                <w:lang w:val="en-GB" w:eastAsia="zh-CN"/>
              </w:rPr>
              <w:t xml:space="preserve">rivate health insurance covers 6.9% of the population, which includes health insurance </w:t>
            </w:r>
            <w:proofErr w:type="gramStart"/>
            <w:r w:rsidRPr="008A2F34">
              <w:rPr>
                <w:rFonts w:ascii="Calibri" w:eastAsia="SimSun" w:hAnsi="Calibri" w:cs="Arial"/>
                <w:b w:val="0"/>
                <w:bCs w:val="0"/>
                <w:lang w:val="en-GB" w:eastAsia="zh-CN"/>
              </w:rPr>
              <w:t>companies</w:t>
            </w:r>
            <w:proofErr w:type="gramEnd"/>
            <w:r w:rsidRPr="008A2F34">
              <w:rPr>
                <w:rFonts w:ascii="Calibri" w:eastAsia="SimSun" w:hAnsi="Calibri" w:cs="Arial"/>
                <w:b w:val="0"/>
                <w:bCs w:val="0"/>
                <w:lang w:val="en-GB" w:eastAsia="zh-CN"/>
              </w:rPr>
              <w:t xml:space="preserve"> and </w:t>
            </w:r>
            <w:r w:rsidR="000B6D4C">
              <w:rPr>
                <w:rFonts w:ascii="Calibri" w:eastAsia="SimSun" w:hAnsi="Calibri" w:cs="Arial"/>
                <w:b w:val="0"/>
                <w:bCs w:val="0"/>
                <w:lang w:val="en-GB" w:eastAsia="zh-CN"/>
              </w:rPr>
              <w:t xml:space="preserve">the </w:t>
            </w:r>
            <w:r w:rsidRPr="008A2F34">
              <w:rPr>
                <w:rFonts w:ascii="Calibri" w:eastAsia="SimSun" w:hAnsi="Calibri" w:cs="Arial"/>
                <w:b w:val="0"/>
                <w:bCs w:val="0"/>
                <w:lang w:val="en-GB" w:eastAsia="zh-CN"/>
              </w:rPr>
              <w:t xml:space="preserve">health insurance funds of the trade unions and some institutions. There are </w:t>
            </w:r>
            <w:proofErr w:type="gramStart"/>
            <w:r w:rsidRPr="008A2F34">
              <w:rPr>
                <w:rFonts w:ascii="Calibri" w:eastAsia="SimSun" w:hAnsi="Calibri" w:cs="Arial"/>
                <w:b w:val="0"/>
                <w:bCs w:val="0"/>
                <w:lang w:val="en-GB" w:eastAsia="zh-CN"/>
              </w:rPr>
              <w:t>a large number of</w:t>
            </w:r>
            <w:proofErr w:type="gramEnd"/>
            <w:r w:rsidRPr="008A2F34">
              <w:rPr>
                <w:rFonts w:ascii="Calibri" w:eastAsia="SimSun" w:hAnsi="Calibri" w:cs="Arial"/>
                <w:b w:val="0"/>
                <w:bCs w:val="0"/>
                <w:lang w:val="en-GB" w:eastAsia="zh-CN"/>
              </w:rPr>
              <w:t xml:space="preserve"> international </w:t>
            </w:r>
            <w:r w:rsidR="000B6D4C">
              <w:rPr>
                <w:rFonts w:ascii="Calibri" w:eastAsia="SimSun" w:hAnsi="Calibri" w:cs="Arial"/>
                <w:b w:val="0"/>
                <w:bCs w:val="0"/>
                <w:lang w:val="en-GB" w:eastAsia="zh-CN"/>
              </w:rPr>
              <w:t>nongovernmental organizations (</w:t>
            </w:r>
            <w:r w:rsidRPr="008A2F34">
              <w:rPr>
                <w:rFonts w:ascii="Calibri" w:eastAsia="SimSun" w:hAnsi="Calibri" w:cs="Arial"/>
                <w:b w:val="0"/>
                <w:bCs w:val="0"/>
                <w:lang w:val="en-GB" w:eastAsia="zh-CN"/>
              </w:rPr>
              <w:t>NGOs</w:t>
            </w:r>
            <w:r w:rsidR="000B6D4C">
              <w:rPr>
                <w:rFonts w:ascii="Calibri" w:eastAsia="SimSun" w:hAnsi="Calibri" w:cs="Arial"/>
                <w:b w:val="0"/>
                <w:bCs w:val="0"/>
                <w:lang w:val="en-GB" w:eastAsia="zh-CN"/>
              </w:rPr>
              <w:t>)</w:t>
            </w:r>
            <w:r w:rsidRPr="008A2F34">
              <w:rPr>
                <w:rFonts w:ascii="Calibri" w:eastAsia="SimSun" w:hAnsi="Calibri" w:cs="Arial"/>
                <w:b w:val="0"/>
                <w:bCs w:val="0"/>
                <w:lang w:val="en-GB" w:eastAsia="zh-CN"/>
              </w:rPr>
              <w:t xml:space="preserve"> and </w:t>
            </w:r>
            <w:r w:rsidR="000B6D4C">
              <w:rPr>
                <w:rFonts w:ascii="Calibri" w:eastAsia="SimSun" w:hAnsi="Calibri" w:cs="Arial"/>
                <w:b w:val="0"/>
                <w:bCs w:val="0"/>
                <w:lang w:val="en-GB" w:eastAsia="zh-CN"/>
              </w:rPr>
              <w:t>United Nations</w:t>
            </w:r>
            <w:r w:rsidRPr="008A2F34">
              <w:rPr>
                <w:rFonts w:ascii="Calibri" w:eastAsia="SimSun" w:hAnsi="Calibri" w:cs="Arial"/>
                <w:b w:val="0"/>
                <w:bCs w:val="0"/>
                <w:lang w:val="en-GB" w:eastAsia="zh-CN"/>
              </w:rPr>
              <w:t xml:space="preserve"> agencies intervening in Jordan in a number of different fields, including in mental health and psychosocial support, although these projects are often funded on a short-term basis. Therefore, it is difficult to fully estimate the proportion of health and mental health financing channelled through such actors.</w:t>
            </w:r>
          </w:p>
          <w:p w14:paraId="77A701AC" w14:textId="5DE1CD79" w:rsidR="00525EA9" w:rsidRPr="008A2F34" w:rsidRDefault="000B6D4C" w:rsidP="00525EA9">
            <w:pPr>
              <w:spacing w:beforeLines="40" w:before="96" w:afterLines="40" w:after="96"/>
              <w:rPr>
                <w:rFonts w:ascii="Calibri" w:eastAsia="SimSun" w:hAnsi="Calibri" w:cs="Arial"/>
                <w:b w:val="0"/>
                <w:bCs w:val="0"/>
                <w:lang w:val="en-GB" w:eastAsia="zh-CN"/>
              </w:rPr>
            </w:pPr>
            <w:r>
              <w:rPr>
                <w:rFonts w:ascii="Calibri" w:eastAsia="SimSun" w:hAnsi="Calibri" w:cs="Arial"/>
                <w:b w:val="0"/>
                <w:bCs w:val="0"/>
                <w:lang w:val="en-GB" w:eastAsia="zh-CN"/>
              </w:rPr>
              <w:t>The h</w:t>
            </w:r>
            <w:r w:rsidR="00525EA9" w:rsidRPr="008A2F34">
              <w:rPr>
                <w:rFonts w:ascii="Calibri" w:eastAsia="SimSun" w:hAnsi="Calibri" w:cs="Arial"/>
                <w:b w:val="0"/>
                <w:bCs w:val="0"/>
                <w:lang w:val="en-GB" w:eastAsia="zh-CN"/>
              </w:rPr>
              <w:t>ospital bed rate in Jordan reached 18 beds per 10</w:t>
            </w:r>
            <w:r w:rsidR="003A1274">
              <w:rPr>
                <w:rFonts w:ascii="Calibri" w:eastAsia="SimSun" w:hAnsi="Calibri" w:cs="Arial"/>
                <w:b w:val="0"/>
                <w:bCs w:val="0"/>
                <w:lang w:val="en-GB" w:eastAsia="zh-CN"/>
              </w:rPr>
              <w:t> </w:t>
            </w:r>
            <w:r w:rsidR="00525EA9" w:rsidRPr="008A2F34">
              <w:rPr>
                <w:rFonts w:ascii="Calibri" w:eastAsia="SimSun" w:hAnsi="Calibri" w:cs="Arial"/>
                <w:b w:val="0"/>
                <w:bCs w:val="0"/>
                <w:lang w:val="en-GB" w:eastAsia="zh-CN"/>
              </w:rPr>
              <w:t>000 citizens in 2013. There were 106 hospitals in Jordan in 2013</w:t>
            </w:r>
            <w:r>
              <w:rPr>
                <w:rFonts w:ascii="Calibri" w:eastAsia="SimSun" w:hAnsi="Calibri" w:cs="Arial"/>
                <w:b w:val="0"/>
                <w:bCs w:val="0"/>
                <w:lang w:val="en-GB" w:eastAsia="zh-CN"/>
              </w:rPr>
              <w:t>,</w:t>
            </w:r>
            <w:r w:rsidR="00525EA9" w:rsidRPr="008A2F34">
              <w:rPr>
                <w:rFonts w:ascii="Calibri" w:eastAsia="SimSun" w:hAnsi="Calibri" w:cs="Arial"/>
                <w:b w:val="0"/>
                <w:bCs w:val="0"/>
                <w:lang w:val="en-GB" w:eastAsia="zh-CN"/>
              </w:rPr>
              <w:t xml:space="preserve"> with a total capacity of 12</w:t>
            </w:r>
            <w:r>
              <w:rPr>
                <w:rFonts w:ascii="Calibri" w:eastAsia="SimSun" w:hAnsi="Calibri" w:cs="Arial"/>
                <w:b w:val="0"/>
                <w:bCs w:val="0"/>
                <w:lang w:val="en-GB" w:eastAsia="zh-CN"/>
              </w:rPr>
              <w:t> </w:t>
            </w:r>
            <w:r w:rsidR="00525EA9" w:rsidRPr="008A2F34">
              <w:rPr>
                <w:rFonts w:ascii="Calibri" w:eastAsia="SimSun" w:hAnsi="Calibri" w:cs="Arial"/>
                <w:b w:val="0"/>
                <w:bCs w:val="0"/>
                <w:lang w:val="en-GB" w:eastAsia="zh-CN"/>
              </w:rPr>
              <w:t xml:space="preserve">081 beds. </w:t>
            </w:r>
            <w:r w:rsidR="00D3459D" w:rsidRPr="008A2F34">
              <w:rPr>
                <w:rFonts w:ascii="Calibri" w:eastAsia="SimSun" w:hAnsi="Calibri" w:cs="Arial"/>
                <w:b w:val="0"/>
                <w:bCs w:val="0"/>
                <w:lang w:val="en-US" w:eastAsia="zh-CN"/>
              </w:rPr>
              <w:t>Ministry of Health</w:t>
            </w:r>
            <w:r w:rsidR="00D3459D" w:rsidRPr="008A2F34">
              <w:rPr>
                <w:rFonts w:ascii="Calibri" w:eastAsia="SimSun" w:hAnsi="Calibri" w:cs="Arial"/>
                <w:b w:val="0"/>
                <w:bCs w:val="0"/>
                <w:lang w:val="en-GB" w:eastAsia="zh-CN"/>
              </w:rPr>
              <w:t xml:space="preserve"> </w:t>
            </w:r>
            <w:r w:rsidR="00525EA9" w:rsidRPr="008A2F34">
              <w:rPr>
                <w:rFonts w:ascii="Calibri" w:eastAsia="SimSun" w:hAnsi="Calibri" w:cs="Arial"/>
                <w:b w:val="0"/>
                <w:bCs w:val="0"/>
                <w:lang w:val="en-GB" w:eastAsia="zh-CN"/>
              </w:rPr>
              <w:t>hospitals accounted for 38% of these (4618 beds)</w:t>
            </w:r>
            <w:r>
              <w:rPr>
                <w:rFonts w:ascii="Calibri" w:eastAsia="SimSun" w:hAnsi="Calibri" w:cs="Arial"/>
                <w:b w:val="0"/>
                <w:bCs w:val="0"/>
                <w:lang w:val="en-GB" w:eastAsia="zh-CN"/>
              </w:rPr>
              <w:t>,</w:t>
            </w:r>
            <w:r w:rsidR="00525EA9" w:rsidRPr="008A2F34">
              <w:rPr>
                <w:rFonts w:ascii="Calibri" w:eastAsia="SimSun" w:hAnsi="Calibri" w:cs="Arial"/>
                <w:b w:val="0"/>
                <w:bCs w:val="0"/>
                <w:lang w:val="en-GB" w:eastAsia="zh-CN"/>
              </w:rPr>
              <w:t xml:space="preserve"> while the number of hospital beds in the Royal Medical Services is 2439 beds (20% of the beds </w:t>
            </w:r>
            <w:r w:rsidR="00525EA9" w:rsidRPr="008A2F34">
              <w:rPr>
                <w:rFonts w:ascii="Calibri" w:eastAsia="SimSun" w:hAnsi="Calibri" w:cs="Arial"/>
                <w:b w:val="0"/>
                <w:bCs w:val="0"/>
                <w:lang w:val="en-GB" w:eastAsia="zh-CN"/>
              </w:rPr>
              <w:lastRenderedPageBreak/>
              <w:t>in Jordan). The University of Jordan Hospital has 534 beds, while King Abdullah University Hospital has 501 beds. The private sector has a total of 3998 beds (33% of the beds in Jordan)</w:t>
            </w:r>
            <w:r>
              <w:rPr>
                <w:rFonts w:ascii="Calibri" w:eastAsia="SimSun" w:hAnsi="Calibri" w:cs="Arial"/>
                <w:b w:val="0"/>
                <w:bCs w:val="0"/>
                <w:lang w:val="en-GB" w:eastAsia="zh-CN"/>
              </w:rPr>
              <w:t>.</w:t>
            </w:r>
            <w:r w:rsidR="00525EA9" w:rsidRPr="008A2F34">
              <w:rPr>
                <w:rFonts w:ascii="Calibri" w:eastAsia="SimSun" w:hAnsi="Calibri" w:cs="Arial"/>
                <w:b w:val="0"/>
                <w:bCs w:val="0"/>
                <w:lang w:val="en-GB" w:eastAsia="zh-CN"/>
              </w:rPr>
              <w:t xml:space="preserve"> Another 500 beds were added at Bashir Hospital and 100 in Jerash, Princess Eman and Princess Rahma hospitals in 2014. The number of physicians per 10</w:t>
            </w:r>
            <w:r w:rsidR="003A1274">
              <w:rPr>
                <w:rFonts w:ascii="Calibri" w:eastAsia="SimSun" w:hAnsi="Calibri" w:cs="Arial"/>
                <w:b w:val="0"/>
                <w:bCs w:val="0"/>
                <w:lang w:val="en-GB" w:eastAsia="zh-CN"/>
              </w:rPr>
              <w:t> </w:t>
            </w:r>
            <w:r w:rsidR="00525EA9" w:rsidRPr="008A2F34">
              <w:rPr>
                <w:rFonts w:ascii="Calibri" w:eastAsia="SimSun" w:hAnsi="Calibri" w:cs="Arial"/>
                <w:b w:val="0"/>
                <w:bCs w:val="0"/>
                <w:lang w:val="en-GB" w:eastAsia="zh-CN"/>
              </w:rPr>
              <w:t>000 population is 29.4, and the number of nurses and midwifes per 10</w:t>
            </w:r>
            <w:r w:rsidR="003A1274">
              <w:rPr>
                <w:rFonts w:ascii="Calibri" w:eastAsia="SimSun" w:hAnsi="Calibri" w:cs="Arial"/>
                <w:b w:val="0"/>
                <w:bCs w:val="0"/>
                <w:lang w:val="en-GB" w:eastAsia="zh-CN"/>
              </w:rPr>
              <w:t> </w:t>
            </w:r>
            <w:r w:rsidR="00525EA9" w:rsidRPr="008A2F34">
              <w:rPr>
                <w:rFonts w:ascii="Calibri" w:eastAsia="SimSun" w:hAnsi="Calibri" w:cs="Arial"/>
                <w:b w:val="0"/>
                <w:bCs w:val="0"/>
                <w:lang w:val="en-GB" w:eastAsia="zh-CN"/>
              </w:rPr>
              <w:t>000 population is 31.7</w:t>
            </w:r>
            <w:r>
              <w:rPr>
                <w:rFonts w:ascii="Calibri" w:eastAsia="SimSun" w:hAnsi="Calibri" w:cs="Arial"/>
                <w:b w:val="0"/>
                <w:bCs w:val="0"/>
                <w:lang w:val="en-GB" w:eastAsia="zh-CN"/>
              </w:rPr>
              <w:t>.</w:t>
            </w:r>
          </w:p>
          <w:p w14:paraId="37471FA2" w14:textId="26B22A73" w:rsidR="00FD71FC" w:rsidRPr="008A2F34" w:rsidRDefault="00525EA9" w:rsidP="00525EA9">
            <w:pPr>
              <w:spacing w:beforeLines="40" w:before="96" w:afterLines="40" w:after="96"/>
              <w:rPr>
                <w:rFonts w:ascii="Calibri" w:eastAsia="SimSun" w:hAnsi="Calibri" w:cs="Arial"/>
                <w:b w:val="0"/>
                <w:bCs w:val="0"/>
                <w:lang w:val="en-GB" w:eastAsia="zh-CN"/>
              </w:rPr>
            </w:pPr>
            <w:r w:rsidRPr="008A2F34">
              <w:rPr>
                <w:rFonts w:ascii="Calibri" w:eastAsia="SimSun" w:hAnsi="Calibri" w:cs="Arial"/>
                <w:b w:val="0"/>
                <w:bCs w:val="0"/>
                <w:lang w:val="en-GB" w:eastAsia="zh-CN"/>
              </w:rPr>
              <w:t>A recent review of Jordan</w:t>
            </w:r>
            <w:r w:rsidR="000B6D4C">
              <w:rPr>
                <w:rFonts w:ascii="Calibri" w:eastAsia="SimSun" w:hAnsi="Calibri" w:cs="Arial"/>
                <w:b w:val="0"/>
                <w:bCs w:val="0"/>
                <w:lang w:val="en-GB" w:eastAsia="zh-CN"/>
              </w:rPr>
              <w:t>’s health information system</w:t>
            </w:r>
            <w:r w:rsidRPr="008A2F34">
              <w:rPr>
                <w:rFonts w:ascii="Calibri" w:eastAsia="SimSun" w:hAnsi="Calibri" w:cs="Arial"/>
                <w:b w:val="0"/>
                <w:bCs w:val="0"/>
                <w:lang w:val="en-GB" w:eastAsia="zh-CN"/>
              </w:rPr>
              <w:t xml:space="preserve"> showed a functional Directorate of Information and Studies under the Department of Planning and Administration at the </w:t>
            </w:r>
            <w:r w:rsidR="00D3459D" w:rsidRPr="008A2F34">
              <w:rPr>
                <w:rFonts w:ascii="Calibri" w:eastAsia="SimSun" w:hAnsi="Calibri" w:cs="Arial"/>
                <w:b w:val="0"/>
                <w:bCs w:val="0"/>
                <w:lang w:val="en-US" w:eastAsia="zh-CN"/>
              </w:rPr>
              <w:t>Ministry of Health</w:t>
            </w:r>
            <w:r w:rsidRPr="008A2F34">
              <w:rPr>
                <w:rFonts w:ascii="Calibri" w:eastAsia="SimSun" w:hAnsi="Calibri" w:cs="Arial"/>
                <w:b w:val="0"/>
                <w:bCs w:val="0"/>
                <w:lang w:val="en-GB" w:eastAsia="zh-CN"/>
              </w:rPr>
              <w:t>.</w:t>
            </w:r>
            <w:r w:rsidR="008A2F34" w:rsidRPr="008A2F34">
              <w:rPr>
                <w:rFonts w:ascii="Calibri" w:eastAsia="SimSun" w:hAnsi="Calibri" w:cs="Arial"/>
                <w:b w:val="0"/>
                <w:bCs w:val="0"/>
                <w:lang w:val="en-GB" w:eastAsia="zh-CN"/>
              </w:rPr>
              <w:t xml:space="preserve"> </w:t>
            </w:r>
            <w:r w:rsidRPr="008A2F34">
              <w:rPr>
                <w:rFonts w:ascii="Calibri" w:eastAsia="SimSun" w:hAnsi="Calibri" w:cs="Arial"/>
                <w:b w:val="0"/>
                <w:bCs w:val="0"/>
                <w:lang w:val="en-GB" w:eastAsia="zh-CN"/>
              </w:rPr>
              <w:t>There is a well-defined system of data collection and reporting from public health facilities up to the national level. Information from census and surveys conducted by the Department of Statistics and other partners is regularly used.</w:t>
            </w:r>
          </w:p>
        </w:tc>
      </w:tr>
      <w:tr w:rsidR="00412424" w14:paraId="2F501530"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021BC620" w14:textId="03B42DC1" w:rsidR="00412424" w:rsidRPr="006B4C95" w:rsidRDefault="00412424" w:rsidP="00412424">
            <w:pPr>
              <w:tabs>
                <w:tab w:val="num" w:pos="720"/>
              </w:tabs>
              <w:spacing w:beforeLines="40" w:before="96" w:afterLines="40" w:after="96"/>
              <w:rPr>
                <w:rFonts w:ascii="Calibri" w:eastAsia="Times New Roman" w:hAnsi="Calibri" w:cs="Calibri"/>
                <w:b w:val="0"/>
                <w:bCs w:val="0"/>
                <w:color w:val="1F497D" w:themeColor="text2"/>
                <w:sz w:val="20"/>
                <w:szCs w:val="20"/>
                <w:lang w:eastAsia="en-GB"/>
              </w:rPr>
            </w:pPr>
            <w:r w:rsidRPr="006B4C95">
              <w:rPr>
                <w:rFonts w:ascii="Calibri" w:eastAsia="Times New Roman" w:hAnsi="Calibri" w:cs="Calibri"/>
                <w:b w:val="0"/>
                <w:bCs w:val="0"/>
                <w:color w:val="1F497D" w:themeColor="text2"/>
                <w:sz w:val="20"/>
                <w:szCs w:val="20"/>
                <w:lang w:eastAsia="en-GB"/>
              </w:rPr>
              <w:lastRenderedPageBreak/>
              <w:t xml:space="preserve">Briefly describe the process of </w:t>
            </w:r>
            <w:r w:rsidR="000B6D4C" w:rsidRPr="006B4C95">
              <w:rPr>
                <w:rFonts w:ascii="Calibri" w:eastAsia="Times New Roman" w:hAnsi="Calibri" w:cs="Calibri"/>
                <w:b w:val="0"/>
                <w:bCs w:val="0"/>
                <w:color w:val="1F497D" w:themeColor="text2"/>
                <w:sz w:val="20"/>
                <w:szCs w:val="20"/>
                <w:lang w:eastAsia="en-GB"/>
              </w:rPr>
              <w:t>i</w:t>
            </w:r>
            <w:r w:rsidRPr="006B4C95">
              <w:rPr>
                <w:rFonts w:ascii="Calibri" w:eastAsia="Times New Roman" w:hAnsi="Calibri" w:cs="Calibri"/>
                <w:b w:val="0"/>
                <w:bCs w:val="0"/>
                <w:color w:val="1F497D" w:themeColor="text2"/>
                <w:sz w:val="20"/>
                <w:szCs w:val="20"/>
                <w:lang w:eastAsia="en-GB"/>
              </w:rPr>
              <w:t>ntegration of mental health in general health care/PHC in your country: Please indicate the proportion of</w:t>
            </w:r>
            <w:r w:rsidR="008A2F34" w:rsidRPr="006B4C95">
              <w:rPr>
                <w:rFonts w:ascii="Calibri" w:eastAsia="Times New Roman" w:hAnsi="Calibri" w:cs="Calibri"/>
                <w:b w:val="0"/>
                <w:bCs w:val="0"/>
                <w:color w:val="1F497D" w:themeColor="text2"/>
                <w:sz w:val="20"/>
                <w:szCs w:val="20"/>
                <w:lang w:eastAsia="en-GB"/>
              </w:rPr>
              <w:t xml:space="preserve"> </w:t>
            </w:r>
            <w:r w:rsidRPr="006B4C95">
              <w:rPr>
                <w:rFonts w:ascii="Calibri" w:eastAsia="Times New Roman" w:hAnsi="Calibri" w:cs="Calibri"/>
                <w:b w:val="0"/>
                <w:bCs w:val="0"/>
                <w:color w:val="1F497D" w:themeColor="text2"/>
                <w:sz w:val="20"/>
                <w:szCs w:val="20"/>
                <w:lang w:eastAsia="en-GB"/>
              </w:rPr>
              <w:t xml:space="preserve">PHC facilities </w:t>
            </w:r>
            <w:r w:rsidR="000B6D4C" w:rsidRPr="006B4C95">
              <w:rPr>
                <w:rFonts w:ascii="Calibri" w:eastAsia="Times New Roman" w:hAnsi="Calibri" w:cs="Calibri"/>
                <w:b w:val="0"/>
                <w:bCs w:val="0"/>
                <w:color w:val="1F497D" w:themeColor="text2"/>
                <w:sz w:val="20"/>
                <w:szCs w:val="20"/>
                <w:lang w:eastAsia="en-GB"/>
              </w:rPr>
              <w:t>that</w:t>
            </w:r>
            <w:r w:rsidRPr="006B4C95">
              <w:rPr>
                <w:rFonts w:ascii="Calibri" w:eastAsia="Times New Roman" w:hAnsi="Calibri" w:cs="Calibri"/>
                <w:b w:val="0"/>
                <w:bCs w:val="0"/>
                <w:color w:val="1F497D" w:themeColor="text2"/>
                <w:sz w:val="20"/>
                <w:szCs w:val="20"/>
                <w:lang w:eastAsia="en-GB"/>
              </w:rPr>
              <w:t xml:space="preserve"> are providing</w:t>
            </w:r>
            <w:r w:rsidR="008A2F34" w:rsidRPr="006B4C95">
              <w:rPr>
                <w:rFonts w:ascii="Calibri" w:eastAsia="Times New Roman" w:hAnsi="Calibri" w:cs="Calibri"/>
                <w:b w:val="0"/>
                <w:bCs w:val="0"/>
                <w:color w:val="1F497D" w:themeColor="text2"/>
                <w:sz w:val="20"/>
                <w:szCs w:val="20"/>
                <w:lang w:eastAsia="en-GB"/>
              </w:rPr>
              <w:t xml:space="preserve"> </w:t>
            </w:r>
            <w:r w:rsidRPr="006B4C95">
              <w:rPr>
                <w:rFonts w:ascii="Calibri" w:eastAsia="Times New Roman" w:hAnsi="Calibri" w:cs="Calibri"/>
                <w:b w:val="0"/>
                <w:bCs w:val="0"/>
                <w:color w:val="1F497D" w:themeColor="text2"/>
                <w:sz w:val="20"/>
                <w:szCs w:val="20"/>
                <w:lang w:eastAsia="en-GB"/>
              </w:rPr>
              <w:t>integrated services and</w:t>
            </w:r>
            <w:r w:rsidR="008A2F34" w:rsidRPr="006B4C95">
              <w:rPr>
                <w:rFonts w:ascii="Calibri" w:eastAsia="Times New Roman" w:hAnsi="Calibri" w:cs="Calibri"/>
                <w:b w:val="0"/>
                <w:bCs w:val="0"/>
                <w:color w:val="1F497D" w:themeColor="text2"/>
                <w:sz w:val="20"/>
                <w:szCs w:val="20"/>
                <w:lang w:eastAsia="en-GB"/>
              </w:rPr>
              <w:t xml:space="preserve"> </w:t>
            </w:r>
            <w:r w:rsidRPr="006B4C95">
              <w:rPr>
                <w:rFonts w:ascii="Calibri" w:eastAsia="Times New Roman" w:hAnsi="Calibri" w:cs="Calibri"/>
                <w:b w:val="0"/>
                <w:bCs w:val="0"/>
                <w:color w:val="1F497D" w:themeColor="text2"/>
                <w:sz w:val="20"/>
                <w:szCs w:val="20"/>
                <w:lang w:eastAsia="en-GB"/>
              </w:rPr>
              <w:t>provide information about the governance mechanisms/structures</w:t>
            </w:r>
            <w:r w:rsidR="008A2F34" w:rsidRPr="006B4C95">
              <w:rPr>
                <w:rFonts w:ascii="Calibri" w:eastAsia="Times New Roman" w:hAnsi="Calibri" w:cs="Calibri"/>
                <w:b w:val="0"/>
                <w:bCs w:val="0"/>
                <w:color w:val="1F497D" w:themeColor="text2"/>
                <w:sz w:val="20"/>
                <w:szCs w:val="20"/>
                <w:lang w:eastAsia="en-GB"/>
              </w:rPr>
              <w:t xml:space="preserve"> </w:t>
            </w:r>
            <w:r w:rsidRPr="006B4C95">
              <w:rPr>
                <w:rFonts w:ascii="Calibri" w:eastAsia="Times New Roman" w:hAnsi="Calibri" w:cs="Calibri"/>
                <w:b w:val="0"/>
                <w:bCs w:val="0"/>
                <w:color w:val="1F497D" w:themeColor="text2"/>
                <w:sz w:val="20"/>
                <w:szCs w:val="20"/>
                <w:lang w:eastAsia="en-GB"/>
              </w:rPr>
              <w:t>put into place to facilitate integration, financing</w:t>
            </w:r>
            <w:r w:rsidR="008A2F34" w:rsidRPr="006B4C95">
              <w:rPr>
                <w:rFonts w:ascii="Calibri" w:eastAsia="Times New Roman" w:hAnsi="Calibri" w:cs="Calibri"/>
                <w:b w:val="0"/>
                <w:bCs w:val="0"/>
                <w:color w:val="1F497D" w:themeColor="text2"/>
                <w:sz w:val="20"/>
                <w:szCs w:val="20"/>
                <w:lang w:eastAsia="en-GB"/>
              </w:rPr>
              <w:t xml:space="preserve"> </w:t>
            </w:r>
            <w:r w:rsidRPr="006B4C95">
              <w:rPr>
                <w:rFonts w:ascii="Calibri" w:eastAsia="Times New Roman" w:hAnsi="Calibri" w:cs="Calibri"/>
                <w:b w:val="0"/>
                <w:bCs w:val="0"/>
                <w:color w:val="1F497D" w:themeColor="text2"/>
                <w:sz w:val="20"/>
                <w:szCs w:val="20"/>
                <w:lang w:eastAsia="en-GB"/>
              </w:rPr>
              <w:t>mechanisms,</w:t>
            </w:r>
            <w:r w:rsidR="00095C71" w:rsidRPr="006B4C95">
              <w:rPr>
                <w:rFonts w:ascii="Calibri" w:eastAsia="Times New Roman" w:hAnsi="Calibri" w:cs="Calibri"/>
                <w:b w:val="0"/>
                <w:bCs w:val="0"/>
                <w:color w:val="1F497D" w:themeColor="text2"/>
                <w:sz w:val="20"/>
                <w:szCs w:val="20"/>
                <w:lang w:eastAsia="en-GB"/>
              </w:rPr>
              <w:t xml:space="preserve"> h</w:t>
            </w:r>
            <w:r w:rsidRPr="006B4C95">
              <w:rPr>
                <w:rFonts w:ascii="Calibri" w:eastAsia="Times New Roman" w:hAnsi="Calibri" w:cs="Calibri"/>
                <w:b w:val="0"/>
                <w:bCs w:val="0"/>
                <w:color w:val="1F497D" w:themeColor="text2"/>
                <w:sz w:val="20"/>
                <w:szCs w:val="20"/>
                <w:lang w:eastAsia="en-GB"/>
              </w:rPr>
              <w:t>uman resource development strategies (</w:t>
            </w:r>
            <w:r w:rsidR="00095C71" w:rsidRPr="006B4C95">
              <w:rPr>
                <w:rFonts w:ascii="Calibri" w:eastAsia="Times New Roman" w:hAnsi="Calibri" w:cs="Calibri"/>
                <w:b w:val="0"/>
                <w:bCs w:val="0"/>
                <w:color w:val="1F497D" w:themeColor="text2"/>
                <w:sz w:val="20"/>
                <w:szCs w:val="20"/>
                <w:lang w:eastAsia="en-GB"/>
              </w:rPr>
              <w:t>i</w:t>
            </w:r>
            <w:r w:rsidRPr="006B4C95">
              <w:rPr>
                <w:rFonts w:ascii="Calibri" w:eastAsia="Times New Roman" w:hAnsi="Calibri" w:cs="Calibri"/>
                <w:b w:val="0"/>
                <w:bCs w:val="0"/>
                <w:color w:val="1F497D" w:themeColor="text2"/>
                <w:sz w:val="20"/>
                <w:szCs w:val="20"/>
                <w:lang w:eastAsia="en-GB"/>
              </w:rPr>
              <w:t>ncluding training, deployment and</w:t>
            </w:r>
            <w:r w:rsidR="008A2F34" w:rsidRPr="006B4C95">
              <w:rPr>
                <w:rFonts w:ascii="Calibri" w:eastAsia="Times New Roman" w:hAnsi="Calibri" w:cs="Calibri"/>
                <w:b w:val="0"/>
                <w:bCs w:val="0"/>
                <w:color w:val="1F497D" w:themeColor="text2"/>
                <w:sz w:val="20"/>
                <w:szCs w:val="20"/>
                <w:lang w:eastAsia="en-GB"/>
              </w:rPr>
              <w:t xml:space="preserve"> </w:t>
            </w:r>
            <w:r w:rsidRPr="006B4C95">
              <w:rPr>
                <w:rFonts w:ascii="Calibri" w:eastAsia="Times New Roman" w:hAnsi="Calibri" w:cs="Calibri"/>
                <w:b w:val="0"/>
                <w:bCs w:val="0"/>
                <w:color w:val="1F497D" w:themeColor="text2"/>
                <w:sz w:val="20"/>
                <w:szCs w:val="20"/>
                <w:lang w:eastAsia="en-GB"/>
              </w:rPr>
              <w:t>continued development),</w:t>
            </w:r>
            <w:r w:rsidR="00095C71" w:rsidRPr="006B4C95">
              <w:rPr>
                <w:rFonts w:ascii="Calibri" w:eastAsia="Times New Roman" w:hAnsi="Calibri" w:cs="Calibri"/>
                <w:b w:val="0"/>
                <w:bCs w:val="0"/>
                <w:color w:val="1F497D" w:themeColor="text2"/>
                <w:sz w:val="20"/>
                <w:szCs w:val="20"/>
                <w:lang w:eastAsia="en-GB"/>
              </w:rPr>
              <w:t xml:space="preserve"> </w:t>
            </w:r>
            <w:r w:rsidRPr="006B4C95">
              <w:rPr>
                <w:rFonts w:ascii="Calibri" w:eastAsia="Times New Roman" w:hAnsi="Calibri" w:cs="Calibri"/>
                <w:b w:val="0"/>
                <w:bCs w:val="0"/>
                <w:color w:val="1F497D" w:themeColor="text2"/>
                <w:sz w:val="20"/>
                <w:szCs w:val="20"/>
                <w:lang w:eastAsia="en-GB"/>
              </w:rPr>
              <w:t xml:space="preserve">package of mental health interventions being delivered in an integrated manner, </w:t>
            </w:r>
            <w:r w:rsidR="00095C71" w:rsidRPr="006B4C95">
              <w:rPr>
                <w:rFonts w:ascii="Calibri" w:eastAsia="Times New Roman" w:hAnsi="Calibri" w:cs="Calibri"/>
                <w:b w:val="0"/>
                <w:bCs w:val="0"/>
                <w:color w:val="1F497D" w:themeColor="text2"/>
                <w:sz w:val="20"/>
                <w:szCs w:val="20"/>
                <w:lang w:eastAsia="en-GB"/>
              </w:rPr>
              <w:t>and m</w:t>
            </w:r>
            <w:r w:rsidRPr="006B4C95">
              <w:rPr>
                <w:rFonts w:ascii="Calibri" w:eastAsia="Times New Roman" w:hAnsi="Calibri" w:cs="Calibri"/>
                <w:b w:val="0"/>
                <w:bCs w:val="0"/>
                <w:color w:val="1F497D" w:themeColor="text2"/>
                <w:sz w:val="20"/>
                <w:szCs w:val="20"/>
                <w:lang w:eastAsia="en-GB"/>
              </w:rPr>
              <w:t>onitoring and evaluation mechanisms put in place to support the process of integration</w:t>
            </w:r>
            <w:r w:rsidR="00095C71" w:rsidRPr="006B4C95">
              <w:rPr>
                <w:rFonts w:ascii="Calibri" w:eastAsia="Times New Roman" w:hAnsi="Calibri" w:cs="Calibri"/>
                <w:b w:val="0"/>
                <w:bCs w:val="0"/>
                <w:color w:val="1F497D" w:themeColor="text2"/>
                <w:sz w:val="20"/>
                <w:szCs w:val="20"/>
                <w:lang w:eastAsia="en-GB"/>
              </w:rPr>
              <w:t>,</w:t>
            </w:r>
            <w:r w:rsidRPr="006B4C95">
              <w:rPr>
                <w:rFonts w:ascii="Calibri" w:eastAsia="Times New Roman" w:hAnsi="Calibri" w:cs="Calibri"/>
                <w:b w:val="0"/>
                <w:bCs w:val="0"/>
                <w:color w:val="1F497D" w:themeColor="text2"/>
                <w:sz w:val="20"/>
                <w:szCs w:val="20"/>
                <w:lang w:eastAsia="en-GB"/>
              </w:rPr>
              <w:t xml:space="preserve"> including</w:t>
            </w:r>
            <w:r w:rsidR="008A2F34" w:rsidRPr="006B4C95">
              <w:rPr>
                <w:rFonts w:ascii="Calibri" w:eastAsia="Times New Roman" w:hAnsi="Calibri" w:cs="Calibri"/>
                <w:b w:val="0"/>
                <w:bCs w:val="0"/>
                <w:color w:val="1F497D" w:themeColor="text2"/>
                <w:sz w:val="20"/>
                <w:szCs w:val="20"/>
                <w:lang w:eastAsia="en-GB"/>
              </w:rPr>
              <w:t xml:space="preserve"> </w:t>
            </w:r>
            <w:r w:rsidRPr="006B4C95">
              <w:rPr>
                <w:rFonts w:ascii="Calibri" w:eastAsia="Times New Roman" w:hAnsi="Calibri" w:cs="Calibri"/>
                <w:b w:val="0"/>
                <w:bCs w:val="0"/>
                <w:color w:val="1F497D" w:themeColor="text2"/>
                <w:sz w:val="20"/>
                <w:szCs w:val="20"/>
                <w:lang w:eastAsia="en-GB"/>
              </w:rPr>
              <w:t xml:space="preserve">integrating </w:t>
            </w:r>
            <w:r w:rsidR="00095C71" w:rsidRPr="006B4C95">
              <w:rPr>
                <w:rFonts w:ascii="Calibri" w:eastAsia="Times New Roman" w:hAnsi="Calibri" w:cs="Calibri"/>
                <w:b w:val="0"/>
                <w:bCs w:val="0"/>
                <w:color w:val="1F497D" w:themeColor="text2"/>
                <w:sz w:val="20"/>
                <w:szCs w:val="20"/>
                <w:lang w:eastAsia="en-GB"/>
              </w:rPr>
              <w:t xml:space="preserve">a </w:t>
            </w:r>
            <w:r w:rsidRPr="006B4C95">
              <w:rPr>
                <w:rFonts w:ascii="Calibri" w:eastAsia="Times New Roman" w:hAnsi="Calibri" w:cs="Calibri"/>
                <w:b w:val="0"/>
                <w:bCs w:val="0"/>
                <w:color w:val="1F497D" w:themeColor="text2"/>
                <w:sz w:val="20"/>
                <w:szCs w:val="20"/>
                <w:lang w:eastAsia="en-GB"/>
              </w:rPr>
              <w:t xml:space="preserve">mental health component in </w:t>
            </w:r>
            <w:r w:rsidR="00095C71" w:rsidRPr="006B4C95">
              <w:rPr>
                <w:rFonts w:ascii="Calibri" w:eastAsia="Times New Roman" w:hAnsi="Calibri" w:cs="Calibri"/>
                <w:b w:val="0"/>
                <w:bCs w:val="0"/>
                <w:color w:val="1F497D" w:themeColor="text2"/>
                <w:sz w:val="20"/>
                <w:szCs w:val="20"/>
                <w:lang w:eastAsia="en-GB"/>
              </w:rPr>
              <w:t xml:space="preserve">the </w:t>
            </w:r>
            <w:r w:rsidRPr="006B4C95">
              <w:rPr>
                <w:rFonts w:ascii="Calibri" w:eastAsia="Times New Roman" w:hAnsi="Calibri" w:cs="Calibri"/>
                <w:b w:val="0"/>
                <w:bCs w:val="0"/>
                <w:color w:val="1F497D" w:themeColor="text2"/>
                <w:sz w:val="20"/>
                <w:szCs w:val="20"/>
                <w:lang w:eastAsia="en-GB"/>
              </w:rPr>
              <w:t>national health</w:t>
            </w:r>
            <w:r w:rsidR="008A2F34" w:rsidRPr="006B4C95">
              <w:rPr>
                <w:rFonts w:ascii="Calibri" w:eastAsia="Times New Roman" w:hAnsi="Calibri" w:cs="Calibri"/>
                <w:b w:val="0"/>
                <w:bCs w:val="0"/>
                <w:color w:val="1F497D" w:themeColor="text2"/>
                <w:sz w:val="20"/>
                <w:szCs w:val="20"/>
                <w:lang w:eastAsia="en-GB"/>
              </w:rPr>
              <w:t xml:space="preserve"> </w:t>
            </w:r>
            <w:r w:rsidRPr="006B4C95">
              <w:rPr>
                <w:rFonts w:ascii="Calibri" w:eastAsia="Times New Roman" w:hAnsi="Calibri" w:cs="Calibri"/>
                <w:b w:val="0"/>
                <w:bCs w:val="0"/>
                <w:color w:val="1F497D" w:themeColor="text2"/>
                <w:sz w:val="20"/>
                <w:szCs w:val="20"/>
                <w:lang w:eastAsia="en-GB"/>
              </w:rPr>
              <w:t>Information system (</w:t>
            </w:r>
            <w:r w:rsidR="00095C71" w:rsidRPr="006B4C95">
              <w:rPr>
                <w:rFonts w:ascii="Calibri" w:eastAsia="Times New Roman" w:hAnsi="Calibri" w:cs="Calibri"/>
                <w:b w:val="0"/>
                <w:bCs w:val="0"/>
                <w:color w:val="1F497D" w:themeColor="text2"/>
                <w:sz w:val="20"/>
                <w:szCs w:val="20"/>
                <w:lang w:eastAsia="en-GB"/>
              </w:rPr>
              <w:t>c</w:t>
            </w:r>
            <w:r w:rsidRPr="006B4C95">
              <w:rPr>
                <w:rFonts w:ascii="Calibri" w:eastAsia="Times New Roman" w:hAnsi="Calibri" w:cs="Calibri"/>
                <w:b w:val="0"/>
                <w:bCs w:val="0"/>
                <w:color w:val="1F497D" w:themeColor="text2"/>
                <w:sz w:val="20"/>
                <w:szCs w:val="20"/>
                <w:lang w:eastAsia="en-GB"/>
              </w:rPr>
              <w:t>ore set of indicators, standard collection, collation, analysis and reporting mechanisms)</w:t>
            </w:r>
          </w:p>
          <w:p w14:paraId="7E8C756A" w14:textId="4BCFB164" w:rsidR="00525EA9" w:rsidRPr="008A2F34" w:rsidRDefault="00005F4A" w:rsidP="00525EA9">
            <w:pPr>
              <w:tabs>
                <w:tab w:val="num" w:pos="720"/>
              </w:tabs>
              <w:spacing w:beforeLines="40" w:before="96" w:afterLines="40" w:after="96"/>
              <w:rPr>
                <w:b w:val="0"/>
                <w:bCs w:val="0"/>
              </w:rPr>
            </w:pPr>
            <w:r w:rsidRPr="008A2F34">
              <w:rPr>
                <w:b w:val="0"/>
                <w:bCs w:val="0"/>
              </w:rPr>
              <w:t xml:space="preserve">Jordan was one of </w:t>
            </w:r>
            <w:r w:rsidR="00525EA9" w:rsidRPr="008A2F34">
              <w:rPr>
                <w:b w:val="0"/>
                <w:bCs w:val="0"/>
              </w:rPr>
              <w:t xml:space="preserve">the first countries to implement the </w:t>
            </w:r>
            <w:r w:rsidR="002271B3">
              <w:rPr>
                <w:b w:val="0"/>
                <w:bCs w:val="0"/>
              </w:rPr>
              <w:t>M</w:t>
            </w:r>
            <w:r w:rsidR="00525EA9" w:rsidRPr="008A2F34">
              <w:rPr>
                <w:b w:val="0"/>
                <w:bCs w:val="0"/>
              </w:rPr>
              <w:t xml:space="preserve">ental </w:t>
            </w:r>
            <w:r w:rsidR="002271B3">
              <w:rPr>
                <w:b w:val="0"/>
                <w:bCs w:val="0"/>
              </w:rPr>
              <w:t>H</w:t>
            </w:r>
            <w:r w:rsidR="00525EA9" w:rsidRPr="008A2F34">
              <w:rPr>
                <w:b w:val="0"/>
                <w:bCs w:val="0"/>
              </w:rPr>
              <w:t xml:space="preserve">ealth Gap Action Programme (mhGAP), for integrating </w:t>
            </w:r>
            <w:r w:rsidR="002271B3">
              <w:rPr>
                <w:b w:val="0"/>
                <w:bCs w:val="0"/>
              </w:rPr>
              <w:t>mental health</w:t>
            </w:r>
            <w:r w:rsidR="00525EA9" w:rsidRPr="008A2F34">
              <w:rPr>
                <w:b w:val="0"/>
                <w:bCs w:val="0"/>
              </w:rPr>
              <w:t xml:space="preserve"> care in PHC. Multiple stakeholder meetings and workshops were conducted to introduce the programme, eventually leading to the training of 180 PHC workers (GPs, family doctors, </w:t>
            </w:r>
            <w:proofErr w:type="gramStart"/>
            <w:r w:rsidR="00525EA9" w:rsidRPr="008A2F34">
              <w:rPr>
                <w:b w:val="0"/>
                <w:bCs w:val="0"/>
              </w:rPr>
              <w:t>nurses</w:t>
            </w:r>
            <w:proofErr w:type="gramEnd"/>
            <w:r w:rsidR="00525EA9" w:rsidRPr="008A2F34">
              <w:rPr>
                <w:b w:val="0"/>
                <w:bCs w:val="0"/>
              </w:rPr>
              <w:t xml:space="preserve"> and midwives) at 45 </w:t>
            </w:r>
            <w:r w:rsidR="00B3233E" w:rsidRPr="008A2F34">
              <w:rPr>
                <w:b w:val="0"/>
                <w:bCs w:val="0"/>
              </w:rPr>
              <w:t>centres</w:t>
            </w:r>
            <w:r w:rsidR="00525EA9" w:rsidRPr="008A2F34">
              <w:rPr>
                <w:b w:val="0"/>
                <w:bCs w:val="0"/>
              </w:rPr>
              <w:t xml:space="preserve"> in </w:t>
            </w:r>
            <w:r w:rsidR="002271B3">
              <w:rPr>
                <w:b w:val="0"/>
                <w:bCs w:val="0"/>
              </w:rPr>
              <w:t>nine</w:t>
            </w:r>
            <w:r w:rsidR="00525EA9" w:rsidRPr="008A2F34">
              <w:rPr>
                <w:b w:val="0"/>
                <w:bCs w:val="0"/>
              </w:rPr>
              <w:t xml:space="preserve"> governorates</w:t>
            </w:r>
            <w:r w:rsidR="00B3233E" w:rsidRPr="008A2F34">
              <w:rPr>
                <w:b w:val="0"/>
                <w:bCs w:val="0"/>
              </w:rPr>
              <w:t xml:space="preserve"> (out of </w:t>
            </w:r>
            <w:r w:rsidR="002271B3">
              <w:rPr>
                <w:b w:val="0"/>
                <w:bCs w:val="0"/>
              </w:rPr>
              <w:t xml:space="preserve">a </w:t>
            </w:r>
            <w:r w:rsidR="00B3233E" w:rsidRPr="008A2F34">
              <w:rPr>
                <w:b w:val="0"/>
                <w:bCs w:val="0"/>
              </w:rPr>
              <w:t>total 684 PHC</w:t>
            </w:r>
            <w:r w:rsidR="002271B3">
              <w:rPr>
                <w:b w:val="0"/>
                <w:bCs w:val="0"/>
              </w:rPr>
              <w:t xml:space="preserve"> centres</w:t>
            </w:r>
            <w:r w:rsidR="00B3233E" w:rsidRPr="008A2F34">
              <w:rPr>
                <w:b w:val="0"/>
                <w:bCs w:val="0"/>
              </w:rPr>
              <w:t>)</w:t>
            </w:r>
            <w:r w:rsidR="003A1274">
              <w:rPr>
                <w:b w:val="0"/>
                <w:bCs w:val="0"/>
              </w:rPr>
              <w:t>.</w:t>
            </w:r>
            <w:r w:rsidR="00525EA9" w:rsidRPr="008A2F34">
              <w:rPr>
                <w:b w:val="0"/>
                <w:bCs w:val="0"/>
              </w:rPr>
              <w:t xml:space="preserve"> </w:t>
            </w:r>
          </w:p>
          <w:p w14:paraId="1A1EEBFD" w14:textId="559A1B14" w:rsidR="00412424" w:rsidRPr="002C5E8B" w:rsidRDefault="00525EA9" w:rsidP="008A2F34">
            <w:pPr>
              <w:tabs>
                <w:tab w:val="num" w:pos="720"/>
              </w:tabs>
              <w:spacing w:beforeLines="40" w:before="96" w:afterLines="40" w:after="96"/>
              <w:rPr>
                <w:rFonts w:ascii="Calibri" w:eastAsia="Times New Roman" w:hAnsi="Calibri" w:cs="Calibri"/>
                <w:color w:val="1F497D" w:themeColor="text2"/>
                <w:lang w:eastAsia="en-GB"/>
              </w:rPr>
            </w:pPr>
            <w:r w:rsidRPr="008A2F34">
              <w:rPr>
                <w:b w:val="0"/>
                <w:bCs w:val="0"/>
              </w:rPr>
              <w:t xml:space="preserve">mhGAP activities included training, refreshers, training of trainers and training for supervisors. A supervision mechanism was also established in July 2013, where </w:t>
            </w:r>
            <w:r w:rsidR="00D3459D" w:rsidRPr="008A2F34">
              <w:rPr>
                <w:rFonts w:ascii="Calibri" w:eastAsia="SimSun" w:hAnsi="Calibri" w:cs="Arial"/>
                <w:b w:val="0"/>
                <w:bCs w:val="0"/>
                <w:lang w:val="en-US" w:eastAsia="zh-CN"/>
              </w:rPr>
              <w:t>Ministry of Health</w:t>
            </w:r>
            <w:r w:rsidRPr="008A2F34">
              <w:rPr>
                <w:b w:val="0"/>
                <w:bCs w:val="0"/>
              </w:rPr>
              <w:t>, WHO, IMC and King Abdullah Hospital staff agreed to conduct monthly supervision visits for each mhGAP-trained cent</w:t>
            </w:r>
            <w:r w:rsidR="00D3459D">
              <w:rPr>
                <w:b w:val="0"/>
                <w:bCs w:val="0"/>
              </w:rPr>
              <w:t>r</w:t>
            </w:r>
            <w:r w:rsidRPr="008A2F34">
              <w:rPr>
                <w:b w:val="0"/>
                <w:bCs w:val="0"/>
              </w:rPr>
              <w:t>e, including monitoring and data collection</w:t>
            </w:r>
            <w:r w:rsidR="002271B3">
              <w:rPr>
                <w:b w:val="0"/>
                <w:bCs w:val="0"/>
              </w:rPr>
              <w:t>;</w:t>
            </w:r>
            <w:r w:rsidRPr="008A2F34">
              <w:rPr>
                <w:b w:val="0"/>
                <w:bCs w:val="0"/>
              </w:rPr>
              <w:t xml:space="preserve"> </w:t>
            </w:r>
            <w:r w:rsidR="00B3233E" w:rsidRPr="008A2F34">
              <w:rPr>
                <w:b w:val="0"/>
                <w:bCs w:val="0"/>
              </w:rPr>
              <w:t>unfortunately</w:t>
            </w:r>
            <w:r w:rsidRPr="008A2F34">
              <w:rPr>
                <w:b w:val="0"/>
                <w:bCs w:val="0"/>
              </w:rPr>
              <w:t xml:space="preserve">, the supervision stopped in 2014 due to challenges in sustaining the supervision mechanism through </w:t>
            </w:r>
            <w:r w:rsidR="002271B3">
              <w:rPr>
                <w:b w:val="0"/>
                <w:bCs w:val="0"/>
              </w:rPr>
              <w:t xml:space="preserve">the </w:t>
            </w:r>
            <w:r w:rsidR="00D3459D" w:rsidRPr="008A2F34">
              <w:rPr>
                <w:rFonts w:ascii="Calibri" w:eastAsia="SimSun" w:hAnsi="Calibri" w:cs="Arial"/>
                <w:b w:val="0"/>
                <w:bCs w:val="0"/>
                <w:lang w:val="en-US" w:eastAsia="zh-CN"/>
              </w:rPr>
              <w:t>Ministry of Health</w:t>
            </w:r>
            <w:r w:rsidRPr="008A2F34">
              <w:rPr>
                <w:b w:val="0"/>
                <w:bCs w:val="0"/>
              </w:rPr>
              <w:t>.</w:t>
            </w:r>
          </w:p>
        </w:tc>
      </w:tr>
      <w:tr w:rsidR="002C5E8B" w14:paraId="67D425D7"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2E49A8D5" w14:textId="77777777" w:rsidR="00C70F63" w:rsidRDefault="002C5E8B" w:rsidP="00C70F63">
            <w:pPr>
              <w:spacing w:beforeLines="40" w:before="96" w:afterLines="40" w:after="96"/>
              <w:rPr>
                <w:rFonts w:ascii="Calibri" w:eastAsia="Times New Roman" w:hAnsi="Calibri" w:cs="Calibri"/>
                <w:b w:val="0"/>
                <w:color w:val="1F497D" w:themeColor="text2"/>
                <w:sz w:val="20"/>
                <w:szCs w:val="20"/>
                <w:lang w:eastAsia="en-GB"/>
              </w:rPr>
            </w:pPr>
            <w:r>
              <w:rPr>
                <w:rFonts w:ascii="Calibri" w:eastAsia="Times New Roman" w:hAnsi="Calibri" w:cs="Calibri"/>
                <w:b w:val="0"/>
                <w:color w:val="1F497D" w:themeColor="text2"/>
                <w:sz w:val="20"/>
                <w:szCs w:val="20"/>
                <w:lang w:eastAsia="en-GB"/>
              </w:rPr>
              <w:t>What c</w:t>
            </w:r>
            <w:r w:rsidRPr="009B0D60">
              <w:rPr>
                <w:rFonts w:ascii="Calibri" w:eastAsia="Times New Roman" w:hAnsi="Calibri" w:cs="Calibri"/>
                <w:b w:val="0"/>
                <w:color w:val="1F497D" w:themeColor="text2"/>
                <w:sz w:val="20"/>
                <w:szCs w:val="20"/>
                <w:lang w:eastAsia="en-GB"/>
              </w:rPr>
              <w:t xml:space="preserve">hallenges </w:t>
            </w:r>
            <w:r>
              <w:rPr>
                <w:rFonts w:ascii="Calibri" w:eastAsia="Times New Roman" w:hAnsi="Calibri" w:cs="Calibri"/>
                <w:b w:val="0"/>
                <w:color w:val="1F497D" w:themeColor="text2"/>
                <w:sz w:val="20"/>
                <w:szCs w:val="20"/>
                <w:lang w:eastAsia="en-GB"/>
              </w:rPr>
              <w:t>did you face?</w:t>
            </w:r>
          </w:p>
          <w:p w14:paraId="5ADEB76A" w14:textId="77777777" w:rsidR="004E2AD5" w:rsidRPr="008A2F34" w:rsidRDefault="004E2AD5" w:rsidP="008A2F34">
            <w:pPr>
              <w:pStyle w:val="ListParagraph"/>
              <w:numPr>
                <w:ilvl w:val="0"/>
                <w:numId w:val="19"/>
              </w:numPr>
              <w:spacing w:beforeLines="40" w:before="96" w:afterLines="40" w:after="96"/>
              <w:ind w:left="360"/>
              <w:rPr>
                <w:rFonts w:eastAsia="Times New Roman" w:cs="Calibri"/>
                <w:b w:val="0"/>
                <w:bCs w:val="0"/>
                <w:lang w:eastAsia="en-GB"/>
              </w:rPr>
            </w:pPr>
            <w:r w:rsidRPr="008A2F34">
              <w:rPr>
                <w:rFonts w:eastAsia="Times New Roman" w:cs="Calibri"/>
                <w:b w:val="0"/>
                <w:bCs w:val="0"/>
                <w:lang w:val="en-US" w:eastAsia="en-GB"/>
              </w:rPr>
              <w:t>The need for further training sessions, in addition to the delivered mhGAP base course</w:t>
            </w:r>
          </w:p>
          <w:p w14:paraId="2D2F34A7" w14:textId="77777777" w:rsidR="004E2AD5" w:rsidRPr="008A2F34" w:rsidRDefault="004E2AD5" w:rsidP="008A2F34">
            <w:pPr>
              <w:pStyle w:val="ListParagraph"/>
              <w:numPr>
                <w:ilvl w:val="0"/>
                <w:numId w:val="19"/>
              </w:numPr>
              <w:spacing w:beforeLines="40" w:before="96" w:afterLines="40" w:after="96"/>
              <w:ind w:left="360"/>
              <w:rPr>
                <w:rFonts w:eastAsia="Times New Roman" w:cs="Calibri"/>
                <w:b w:val="0"/>
                <w:bCs w:val="0"/>
                <w:lang w:eastAsia="en-GB"/>
              </w:rPr>
            </w:pPr>
            <w:r w:rsidRPr="008A2F34">
              <w:rPr>
                <w:rFonts w:eastAsia="Times New Roman" w:cs="Calibri"/>
                <w:b w:val="0"/>
                <w:bCs w:val="0"/>
                <w:lang w:eastAsia="en-GB"/>
              </w:rPr>
              <w:t>The need for sustainable</w:t>
            </w:r>
            <w:r w:rsidRPr="008A2F34">
              <w:rPr>
                <w:rFonts w:eastAsia="Times New Roman" w:cs="Calibri"/>
                <w:b w:val="0"/>
                <w:bCs w:val="0"/>
                <w:lang w:val="en-US" w:eastAsia="en-GB"/>
              </w:rPr>
              <w:t xml:space="preserve"> systematic supervision</w:t>
            </w:r>
          </w:p>
          <w:p w14:paraId="0703A7AA" w14:textId="05E3630B" w:rsidR="004E2AD5" w:rsidRPr="008A2F34" w:rsidRDefault="004C03EF" w:rsidP="008A2F34">
            <w:pPr>
              <w:pStyle w:val="ListParagraph"/>
              <w:numPr>
                <w:ilvl w:val="0"/>
                <w:numId w:val="19"/>
              </w:numPr>
              <w:spacing w:beforeLines="40" w:before="96" w:afterLines="40" w:after="96"/>
              <w:ind w:left="360"/>
              <w:rPr>
                <w:rFonts w:eastAsia="Times New Roman" w:cs="Calibri"/>
                <w:b w:val="0"/>
                <w:bCs w:val="0"/>
                <w:lang w:eastAsia="en-GB"/>
              </w:rPr>
            </w:pPr>
            <w:r>
              <w:rPr>
                <w:rFonts w:eastAsia="Times New Roman" w:cs="Calibri"/>
                <w:b w:val="0"/>
                <w:bCs w:val="0"/>
                <w:lang w:eastAsia="en-GB"/>
              </w:rPr>
              <w:t>C</w:t>
            </w:r>
            <w:r w:rsidR="004E2AD5" w:rsidRPr="008A2F34">
              <w:rPr>
                <w:rFonts w:eastAsia="Times New Roman" w:cs="Calibri"/>
                <w:b w:val="0"/>
                <w:bCs w:val="0"/>
                <w:lang w:eastAsia="en-GB"/>
              </w:rPr>
              <w:t>onsistent trend of more successful mhGAP implementation by doctors compared to nurses</w:t>
            </w:r>
          </w:p>
          <w:p w14:paraId="3243D2B1" w14:textId="77777777" w:rsidR="00FD71FC" w:rsidRPr="008A2F34" w:rsidRDefault="00FD71FC" w:rsidP="008A2F34">
            <w:pPr>
              <w:pStyle w:val="ListParagraph"/>
              <w:numPr>
                <w:ilvl w:val="0"/>
                <w:numId w:val="19"/>
              </w:numPr>
              <w:spacing w:beforeLines="40" w:before="96" w:afterLines="40" w:after="96"/>
              <w:ind w:left="360"/>
              <w:rPr>
                <w:rFonts w:eastAsia="Times New Roman" w:cs="Calibri"/>
                <w:b w:val="0"/>
                <w:bCs w:val="0"/>
                <w:lang w:eastAsia="en-GB"/>
              </w:rPr>
            </w:pPr>
            <w:r w:rsidRPr="008A2F34">
              <w:rPr>
                <w:rFonts w:eastAsia="Times New Roman" w:cs="Calibri"/>
                <w:b w:val="0"/>
                <w:bCs w:val="0"/>
                <w:lang w:eastAsia="en-GB"/>
              </w:rPr>
              <w:t xml:space="preserve">Shortage of human resources </w:t>
            </w:r>
          </w:p>
          <w:p w14:paraId="6EF69109" w14:textId="65F51363" w:rsidR="00FD71FC" w:rsidRPr="008A2F34" w:rsidRDefault="00FD71FC" w:rsidP="008A2F34">
            <w:pPr>
              <w:pStyle w:val="ListParagraph"/>
              <w:numPr>
                <w:ilvl w:val="0"/>
                <w:numId w:val="19"/>
              </w:numPr>
              <w:spacing w:beforeLines="40" w:before="96" w:afterLines="40" w:after="96"/>
              <w:ind w:left="360"/>
              <w:rPr>
                <w:rFonts w:eastAsia="Times New Roman" w:cs="Calibri"/>
                <w:b w:val="0"/>
                <w:bCs w:val="0"/>
                <w:lang w:eastAsia="en-GB"/>
              </w:rPr>
            </w:pPr>
            <w:r w:rsidRPr="008A2F34">
              <w:rPr>
                <w:rFonts w:eastAsia="Times New Roman" w:cs="Calibri"/>
                <w:b w:val="0"/>
                <w:bCs w:val="0"/>
                <w:lang w:eastAsia="en-GB"/>
              </w:rPr>
              <w:t>Turnover of mhGAP trained staff (relocation to other centres, retirement, etc.), in addition to overloaded PHC centres.</w:t>
            </w:r>
          </w:p>
          <w:p w14:paraId="04270414" w14:textId="22C57A85" w:rsidR="00412424" w:rsidRPr="004E2AD5" w:rsidRDefault="00FD71FC" w:rsidP="008A2F34">
            <w:pPr>
              <w:pStyle w:val="ListParagraph"/>
              <w:numPr>
                <w:ilvl w:val="0"/>
                <w:numId w:val="19"/>
              </w:numPr>
              <w:spacing w:beforeLines="40" w:before="96" w:afterLines="40" w:after="96"/>
              <w:ind w:left="360"/>
              <w:rPr>
                <w:rFonts w:eastAsia="Times New Roman" w:cs="Calibri"/>
                <w:b w:val="0"/>
                <w:bCs w:val="0"/>
                <w:sz w:val="20"/>
                <w:szCs w:val="20"/>
                <w:lang w:eastAsia="en-GB"/>
              </w:rPr>
            </w:pPr>
            <w:r w:rsidRPr="008A2F34">
              <w:rPr>
                <w:rFonts w:eastAsia="Times New Roman" w:cs="Calibri"/>
                <w:b w:val="0"/>
                <w:bCs w:val="0"/>
                <w:lang w:eastAsia="en-GB"/>
              </w:rPr>
              <w:t xml:space="preserve">Lack of financial resources dedicated to mental health at the </w:t>
            </w:r>
            <w:r w:rsidR="00B36E65">
              <w:rPr>
                <w:rFonts w:eastAsia="Times New Roman" w:cs="Calibri"/>
                <w:b w:val="0"/>
                <w:bCs w:val="0"/>
                <w:lang w:eastAsia="en-GB"/>
              </w:rPr>
              <w:t>Ministry of Health</w:t>
            </w:r>
            <w:r w:rsidRPr="008A2F34">
              <w:rPr>
                <w:rFonts w:eastAsia="Times New Roman" w:cs="Calibri"/>
                <w:b w:val="0"/>
                <w:bCs w:val="0"/>
                <w:color w:val="1F497D" w:themeColor="text2"/>
                <w:lang w:eastAsia="en-GB"/>
              </w:rPr>
              <w:t>.</w:t>
            </w:r>
          </w:p>
        </w:tc>
      </w:tr>
      <w:tr w:rsidR="002C5E8B" w14:paraId="4EA9C5AC"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4A9CAAE1" w14:textId="77777777" w:rsidR="002C5E8B" w:rsidRDefault="002C5E8B" w:rsidP="008B361C">
            <w:pPr>
              <w:spacing w:beforeLines="40" w:before="96" w:afterLines="40" w:after="96"/>
              <w:rPr>
                <w:rFonts w:ascii="Calibri" w:eastAsia="Times New Roman" w:hAnsi="Calibri" w:cs="Calibri"/>
                <w:b w:val="0"/>
                <w:color w:val="1F497D" w:themeColor="text2"/>
                <w:sz w:val="20"/>
                <w:szCs w:val="20"/>
                <w:lang w:eastAsia="en-GB"/>
              </w:rPr>
            </w:pPr>
            <w:r>
              <w:rPr>
                <w:rFonts w:ascii="Calibri" w:eastAsia="Times New Roman" w:hAnsi="Calibri" w:cs="Calibri"/>
                <w:b w:val="0"/>
                <w:color w:val="1F497D" w:themeColor="text2"/>
                <w:sz w:val="20"/>
                <w:szCs w:val="20"/>
                <w:lang w:eastAsia="en-GB"/>
              </w:rPr>
              <w:t xml:space="preserve">What are your </w:t>
            </w:r>
            <w:proofErr w:type="gramStart"/>
            <w:r>
              <w:rPr>
                <w:rFonts w:ascii="Calibri" w:eastAsia="Times New Roman" w:hAnsi="Calibri" w:cs="Calibri"/>
                <w:b w:val="0"/>
                <w:color w:val="1F497D" w:themeColor="text2"/>
                <w:sz w:val="20"/>
                <w:szCs w:val="20"/>
                <w:lang w:eastAsia="en-GB"/>
              </w:rPr>
              <w:t>future plans</w:t>
            </w:r>
            <w:proofErr w:type="gramEnd"/>
            <w:r>
              <w:rPr>
                <w:rFonts w:ascii="Calibri" w:eastAsia="Times New Roman" w:hAnsi="Calibri" w:cs="Calibri"/>
                <w:b w:val="0"/>
                <w:color w:val="1F497D" w:themeColor="text2"/>
                <w:sz w:val="20"/>
                <w:szCs w:val="20"/>
                <w:lang w:eastAsia="en-GB"/>
              </w:rPr>
              <w:t xml:space="preserve"> for the </w:t>
            </w:r>
            <w:r w:rsidRPr="009B0D60">
              <w:rPr>
                <w:b w:val="0"/>
                <w:color w:val="1F497D" w:themeColor="text2"/>
                <w:sz w:val="20"/>
                <w:szCs w:val="20"/>
              </w:rPr>
              <w:t>in</w:t>
            </w:r>
            <w:r>
              <w:rPr>
                <w:b w:val="0"/>
                <w:color w:val="1F497D" w:themeColor="text2"/>
                <w:sz w:val="20"/>
                <w:szCs w:val="20"/>
              </w:rPr>
              <w:t>tervention/action</w:t>
            </w:r>
            <w:r>
              <w:rPr>
                <w:rFonts w:ascii="Calibri" w:eastAsia="Times New Roman" w:hAnsi="Calibri" w:cs="Calibri"/>
                <w:b w:val="0"/>
                <w:color w:val="1F497D" w:themeColor="text2"/>
                <w:sz w:val="20"/>
                <w:szCs w:val="20"/>
                <w:lang w:eastAsia="en-GB"/>
              </w:rPr>
              <w:t>?</w:t>
            </w:r>
          </w:p>
          <w:p w14:paraId="77544962" w14:textId="14472875" w:rsidR="009C7361" w:rsidRPr="008A2F34" w:rsidRDefault="00B6218B" w:rsidP="009C7361">
            <w:pPr>
              <w:spacing w:beforeLines="40" w:before="96" w:afterLines="40" w:after="96"/>
              <w:rPr>
                <w:b w:val="0"/>
              </w:rPr>
            </w:pPr>
            <w:r w:rsidRPr="008A2F34">
              <w:rPr>
                <w:b w:val="0"/>
              </w:rPr>
              <w:t xml:space="preserve">WHO Jordan is working closely with the </w:t>
            </w:r>
            <w:r w:rsidR="00D3459D" w:rsidRPr="008A2F34">
              <w:rPr>
                <w:rFonts w:ascii="Calibri" w:eastAsia="SimSun" w:hAnsi="Calibri" w:cs="Arial"/>
                <w:b w:val="0"/>
                <w:bCs w:val="0"/>
                <w:lang w:val="en-US" w:eastAsia="zh-CN"/>
              </w:rPr>
              <w:t>Ministry of Health</w:t>
            </w:r>
            <w:r w:rsidR="00D3459D" w:rsidRPr="008A2F34">
              <w:rPr>
                <w:b w:val="0"/>
              </w:rPr>
              <w:t xml:space="preserve"> </w:t>
            </w:r>
            <w:r w:rsidRPr="008A2F34">
              <w:rPr>
                <w:b w:val="0"/>
              </w:rPr>
              <w:t xml:space="preserve">Mental Health Unit, and in reference to the National Policy for Mental Health, to continue joint efforts towards further development in the mental health field. Specifically, </w:t>
            </w:r>
            <w:r w:rsidR="00736FB7" w:rsidRPr="008A2F34">
              <w:rPr>
                <w:b w:val="0"/>
              </w:rPr>
              <w:t xml:space="preserve">next steps include the continued integration of mental health in </w:t>
            </w:r>
            <w:r w:rsidR="009F6A36">
              <w:rPr>
                <w:b w:val="0"/>
              </w:rPr>
              <w:t>PHC</w:t>
            </w:r>
            <w:r w:rsidR="00736FB7" w:rsidRPr="008A2F34">
              <w:rPr>
                <w:b w:val="0"/>
              </w:rPr>
              <w:t xml:space="preserve"> through the</w:t>
            </w:r>
            <w:r w:rsidR="00D712EF" w:rsidRPr="008A2F34">
              <w:rPr>
                <w:b w:val="0"/>
              </w:rPr>
              <w:t xml:space="preserve"> implementation of</w:t>
            </w:r>
            <w:r w:rsidR="009C7361" w:rsidRPr="008A2F34">
              <w:rPr>
                <w:b w:val="0"/>
              </w:rPr>
              <w:t xml:space="preserve"> mhGAP in further governorates</w:t>
            </w:r>
            <w:r w:rsidR="00D712EF" w:rsidRPr="008A2F34">
              <w:rPr>
                <w:b w:val="0"/>
              </w:rPr>
              <w:t xml:space="preserve">. </w:t>
            </w:r>
            <w:r w:rsidR="009C7361" w:rsidRPr="008A2F34">
              <w:rPr>
                <w:b w:val="0"/>
              </w:rPr>
              <w:t>In particular:</w:t>
            </w:r>
          </w:p>
          <w:p w14:paraId="77903806" w14:textId="539F5561" w:rsidR="009C7361" w:rsidRPr="008A2F34" w:rsidRDefault="009F6A36" w:rsidP="008A2F34">
            <w:pPr>
              <w:pStyle w:val="ListParagraph"/>
              <w:numPr>
                <w:ilvl w:val="0"/>
                <w:numId w:val="23"/>
              </w:numPr>
              <w:spacing w:beforeLines="40" w:before="96" w:afterLines="40" w:after="96"/>
              <w:ind w:left="360"/>
              <w:rPr>
                <w:b w:val="0"/>
                <w:bCs w:val="0"/>
              </w:rPr>
            </w:pPr>
            <w:r>
              <w:rPr>
                <w:b w:val="0"/>
                <w:bCs w:val="0"/>
              </w:rPr>
              <w:t>s</w:t>
            </w:r>
            <w:r w:rsidR="009C7361" w:rsidRPr="008A2F34">
              <w:rPr>
                <w:b w:val="0"/>
                <w:bCs w:val="0"/>
              </w:rPr>
              <w:t>trengthen</w:t>
            </w:r>
            <w:r>
              <w:rPr>
                <w:b w:val="0"/>
                <w:bCs w:val="0"/>
              </w:rPr>
              <w:t>ing</w:t>
            </w:r>
            <w:r w:rsidR="009C7361" w:rsidRPr="008A2F34">
              <w:rPr>
                <w:b w:val="0"/>
                <w:bCs w:val="0"/>
              </w:rPr>
              <w:t xml:space="preserve"> the capacity of PHC personnel using mhGAP materials</w:t>
            </w:r>
          </w:p>
          <w:p w14:paraId="72C22F18" w14:textId="7678410A" w:rsidR="009C7361" w:rsidRPr="008A2F34" w:rsidRDefault="009F6A36" w:rsidP="008A2F34">
            <w:pPr>
              <w:pStyle w:val="ListParagraph"/>
              <w:numPr>
                <w:ilvl w:val="0"/>
                <w:numId w:val="23"/>
              </w:numPr>
              <w:spacing w:beforeLines="40" w:before="96" w:afterLines="40" w:after="96"/>
              <w:ind w:left="360"/>
              <w:rPr>
                <w:b w:val="0"/>
                <w:bCs w:val="0"/>
              </w:rPr>
            </w:pPr>
            <w:r>
              <w:rPr>
                <w:b w:val="0"/>
                <w:bCs w:val="0"/>
              </w:rPr>
              <w:t>b</w:t>
            </w:r>
            <w:r w:rsidR="009C7361" w:rsidRPr="008A2F34">
              <w:rPr>
                <w:b w:val="0"/>
                <w:bCs w:val="0"/>
              </w:rPr>
              <w:t>uild</w:t>
            </w:r>
            <w:r>
              <w:rPr>
                <w:b w:val="0"/>
                <w:bCs w:val="0"/>
              </w:rPr>
              <w:t>ing</w:t>
            </w:r>
            <w:r w:rsidR="009C7361" w:rsidRPr="008A2F34">
              <w:rPr>
                <w:b w:val="0"/>
                <w:bCs w:val="0"/>
              </w:rPr>
              <w:t xml:space="preserve"> a peer supervision system (developing </w:t>
            </w:r>
            <w:r w:rsidRPr="008A2F34">
              <w:rPr>
                <w:b w:val="0"/>
                <w:bCs w:val="0"/>
              </w:rPr>
              <w:t xml:space="preserve">family doctors </w:t>
            </w:r>
            <w:r w:rsidR="009C7361" w:rsidRPr="008A2F34">
              <w:rPr>
                <w:b w:val="0"/>
                <w:bCs w:val="0"/>
              </w:rPr>
              <w:t xml:space="preserve">as peer supervisors) </w:t>
            </w:r>
          </w:p>
          <w:p w14:paraId="1E95A1BC" w14:textId="34F04A9C" w:rsidR="009C7361" w:rsidRPr="008A2F34" w:rsidRDefault="009F6A36" w:rsidP="008A2F34">
            <w:pPr>
              <w:pStyle w:val="ListParagraph"/>
              <w:numPr>
                <w:ilvl w:val="0"/>
                <w:numId w:val="23"/>
              </w:numPr>
              <w:spacing w:beforeLines="40" w:before="96" w:afterLines="40" w:after="96"/>
              <w:ind w:left="360"/>
              <w:rPr>
                <w:b w:val="0"/>
                <w:bCs w:val="0"/>
              </w:rPr>
            </w:pPr>
            <w:r>
              <w:rPr>
                <w:b w:val="0"/>
                <w:bCs w:val="0"/>
              </w:rPr>
              <w:t>s</w:t>
            </w:r>
            <w:r w:rsidR="009C7361" w:rsidRPr="008A2F34">
              <w:rPr>
                <w:b w:val="0"/>
                <w:bCs w:val="0"/>
              </w:rPr>
              <w:t>trengthen</w:t>
            </w:r>
            <w:r>
              <w:rPr>
                <w:b w:val="0"/>
                <w:bCs w:val="0"/>
              </w:rPr>
              <w:t>ing</w:t>
            </w:r>
            <w:r w:rsidR="009C7361" w:rsidRPr="008A2F34">
              <w:rPr>
                <w:b w:val="0"/>
                <w:bCs w:val="0"/>
              </w:rPr>
              <w:t xml:space="preserve"> referrals and back</w:t>
            </w:r>
            <w:r>
              <w:rPr>
                <w:b w:val="0"/>
                <w:bCs w:val="0"/>
              </w:rPr>
              <w:t>-</w:t>
            </w:r>
            <w:r w:rsidR="009C7361" w:rsidRPr="008A2F34">
              <w:rPr>
                <w:b w:val="0"/>
                <w:bCs w:val="0"/>
              </w:rPr>
              <w:t>referral modalities and guidelines between primary care and specialist services</w:t>
            </w:r>
          </w:p>
          <w:p w14:paraId="24F463EA" w14:textId="4BF28FAA" w:rsidR="000B33BC" w:rsidRPr="00D712EF" w:rsidRDefault="00D712EF" w:rsidP="008A2F34">
            <w:pPr>
              <w:spacing w:beforeLines="40" w:before="96" w:afterLines="40" w:after="96"/>
              <w:rPr>
                <w:rFonts w:ascii="Calibri" w:eastAsia="Times New Roman" w:hAnsi="Calibri" w:cs="Calibri"/>
                <w:b w:val="0"/>
                <w:color w:val="1F497D" w:themeColor="text2"/>
                <w:sz w:val="20"/>
                <w:szCs w:val="20"/>
                <w:lang w:eastAsia="en-GB"/>
              </w:rPr>
            </w:pPr>
            <w:r w:rsidRPr="008A2F34">
              <w:rPr>
                <w:b w:val="0"/>
              </w:rPr>
              <w:t xml:space="preserve">In addition, </w:t>
            </w:r>
            <w:proofErr w:type="gramStart"/>
            <w:r w:rsidRPr="008A2F34">
              <w:rPr>
                <w:b w:val="0"/>
              </w:rPr>
              <w:t>discussions</w:t>
            </w:r>
            <w:proofErr w:type="gramEnd"/>
            <w:r w:rsidRPr="008A2F34">
              <w:rPr>
                <w:b w:val="0"/>
              </w:rPr>
              <w:t xml:space="preserve"> and preliminary plans for the establishment of </w:t>
            </w:r>
            <w:r w:rsidR="009F6A36">
              <w:rPr>
                <w:b w:val="0"/>
              </w:rPr>
              <w:t>two</w:t>
            </w:r>
            <w:r w:rsidRPr="008A2F34">
              <w:rPr>
                <w:b w:val="0"/>
              </w:rPr>
              <w:t xml:space="preserve"> inpatient </w:t>
            </w:r>
            <w:r w:rsidR="009C7361" w:rsidRPr="008A2F34">
              <w:rPr>
                <w:b w:val="0"/>
              </w:rPr>
              <w:t>units in general hospitals are taking place.</w:t>
            </w:r>
            <w:r w:rsidRPr="008A2F34">
              <w:rPr>
                <w:rFonts w:ascii="Calibri" w:eastAsia="Times New Roman" w:hAnsi="Calibri" w:cs="Calibri"/>
                <w:b w:val="0"/>
                <w:color w:val="1F497D" w:themeColor="text2"/>
                <w:lang w:eastAsia="en-GB"/>
              </w:rPr>
              <w:t xml:space="preserve"> </w:t>
            </w:r>
          </w:p>
        </w:tc>
      </w:tr>
      <w:tr w:rsidR="003F466E" w14:paraId="7647AD1D"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4F81BD" w:themeFill="accent1"/>
          </w:tcPr>
          <w:p w14:paraId="11B5609A" w14:textId="77777777" w:rsidR="003F466E" w:rsidRPr="00EC6A2A" w:rsidRDefault="003F466E" w:rsidP="00BB0D7C">
            <w:pPr>
              <w:spacing w:beforeLines="40" w:before="96" w:afterLines="40" w:after="96"/>
              <w:rPr>
                <w:color w:val="FFFFFF" w:themeColor="background1"/>
                <w:sz w:val="20"/>
                <w:szCs w:val="20"/>
              </w:rPr>
            </w:pPr>
            <w:r w:rsidRPr="00EC6A2A">
              <w:rPr>
                <w:color w:val="FFFFFF" w:themeColor="background1"/>
                <w:sz w:val="20"/>
                <w:szCs w:val="20"/>
              </w:rPr>
              <w:t xml:space="preserve">IMPACT OF </w:t>
            </w:r>
            <w:r w:rsidR="008B361C" w:rsidRPr="008B361C">
              <w:rPr>
                <w:bCs w:val="0"/>
                <w:color w:val="FFFFFF" w:themeColor="background1"/>
                <w:sz w:val="20"/>
                <w:szCs w:val="20"/>
              </w:rPr>
              <w:t>INTERVENTION/ACTION</w:t>
            </w:r>
          </w:p>
        </w:tc>
      </w:tr>
      <w:tr w:rsidR="003F466E" w14:paraId="5D2D2C82"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6C92214" w14:textId="77777777" w:rsidR="003F466E" w:rsidRPr="007D44E4" w:rsidRDefault="00412424" w:rsidP="00412424">
            <w:pPr>
              <w:spacing w:beforeLines="40" w:before="96" w:afterLines="40" w:after="96"/>
              <w:rPr>
                <w:b w:val="0"/>
                <w:color w:val="1F497D" w:themeColor="text2"/>
                <w:sz w:val="20"/>
                <w:szCs w:val="20"/>
              </w:rPr>
            </w:pPr>
            <w:r>
              <w:rPr>
                <w:b w:val="0"/>
                <w:color w:val="1F497D" w:themeColor="text2"/>
                <w:sz w:val="20"/>
                <w:szCs w:val="20"/>
              </w:rPr>
              <w:lastRenderedPageBreak/>
              <w:t xml:space="preserve">Any studies conducted to </w:t>
            </w:r>
            <w:r w:rsidRPr="000068E6">
              <w:rPr>
                <w:rFonts w:ascii="Calibri" w:eastAsia="Times New Roman" w:hAnsi="Calibri" w:cs="Calibri"/>
                <w:b w:val="0"/>
                <w:color w:val="1F497D" w:themeColor="text2"/>
                <w:sz w:val="20"/>
                <w:szCs w:val="20"/>
                <w:lang w:eastAsia="en-GB"/>
              </w:rPr>
              <w:t xml:space="preserve">evaluate the </w:t>
            </w:r>
            <w:r>
              <w:rPr>
                <w:b w:val="0"/>
                <w:color w:val="1F497D" w:themeColor="text2"/>
                <w:sz w:val="20"/>
                <w:szCs w:val="20"/>
              </w:rPr>
              <w:t>process and impact of integration of mental health in PHC</w:t>
            </w:r>
            <w:r w:rsidRPr="000068E6">
              <w:rPr>
                <w:rFonts w:ascii="Calibri" w:eastAsia="Times New Roman" w:hAnsi="Calibri" w:cs="Calibri"/>
                <w:b w:val="0"/>
                <w:color w:val="1F497D" w:themeColor="text2"/>
                <w:sz w:val="20"/>
                <w:szCs w:val="20"/>
                <w:lang w:eastAsia="en-GB"/>
              </w:rPr>
              <w:t>?</w:t>
            </w:r>
          </w:p>
        </w:tc>
      </w:tr>
      <w:tr w:rsidR="003F466E" w:rsidRPr="00945569" w14:paraId="1CFD35B2" w14:textId="77777777" w:rsidTr="00525EA9">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9242" w:type="dxa"/>
          </w:tcPr>
          <w:p w14:paraId="29116FDD" w14:textId="0974F953" w:rsidR="003F466E" w:rsidRPr="008A2F34" w:rsidRDefault="00945569" w:rsidP="00945569">
            <w:pPr>
              <w:spacing w:beforeLines="40" w:before="96" w:afterLines="40" w:after="96"/>
              <w:rPr>
                <w:b w:val="0"/>
                <w:bCs w:val="0"/>
              </w:rPr>
            </w:pPr>
            <w:r w:rsidRPr="008A2F34">
              <w:rPr>
                <w:b w:val="0"/>
                <w:bCs w:val="0"/>
              </w:rPr>
              <w:t xml:space="preserve">A recent assessment on </w:t>
            </w:r>
            <w:r w:rsidRPr="008A2F34">
              <w:rPr>
                <w:b w:val="0"/>
                <w:bCs w:val="0"/>
                <w:lang w:val="en-US"/>
              </w:rPr>
              <w:t xml:space="preserve">the status of the mental health situation in Jordan was conducted in June 2016, yet no comprehensive evaluation of integrating mental health in </w:t>
            </w:r>
            <w:r w:rsidR="00984DAD">
              <w:rPr>
                <w:b w:val="0"/>
                <w:bCs w:val="0"/>
                <w:lang w:val="en-US"/>
              </w:rPr>
              <w:t>PHC</w:t>
            </w:r>
            <w:r w:rsidRPr="008A2F34">
              <w:rPr>
                <w:b w:val="0"/>
                <w:bCs w:val="0"/>
                <w:lang w:val="en-US"/>
              </w:rPr>
              <w:t xml:space="preserve"> was conducted.</w:t>
            </w:r>
          </w:p>
        </w:tc>
      </w:tr>
      <w:tr w:rsidR="003F466E" w14:paraId="1360DC46"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901C149" w14:textId="77777777" w:rsidR="003F466E" w:rsidRPr="007D44E4" w:rsidRDefault="003F466E" w:rsidP="00412424">
            <w:pPr>
              <w:spacing w:beforeLines="40" w:before="96" w:afterLines="40" w:after="96"/>
            </w:pPr>
            <w:r w:rsidRPr="007D44E4">
              <w:rPr>
                <w:rFonts w:ascii="Calibri" w:eastAsia="Times New Roman" w:hAnsi="Calibri" w:cs="Calibri"/>
                <w:b w:val="0"/>
                <w:color w:val="1F497D" w:themeColor="text2"/>
                <w:sz w:val="20"/>
                <w:szCs w:val="20"/>
                <w:lang w:eastAsia="en-GB"/>
              </w:rPr>
              <w:t xml:space="preserve">What impact has the </w:t>
            </w:r>
            <w:r w:rsidR="00412424">
              <w:rPr>
                <w:b w:val="0"/>
                <w:color w:val="1F497D" w:themeColor="text2"/>
                <w:sz w:val="20"/>
                <w:szCs w:val="20"/>
              </w:rPr>
              <w:t xml:space="preserve">integration </w:t>
            </w:r>
            <w:r w:rsidR="00412424" w:rsidRPr="007D44E4">
              <w:rPr>
                <w:rFonts w:ascii="Calibri" w:eastAsia="Times New Roman" w:hAnsi="Calibri" w:cs="Calibri"/>
                <w:b w:val="0"/>
                <w:color w:val="1F497D" w:themeColor="text2"/>
                <w:sz w:val="20"/>
                <w:szCs w:val="20"/>
                <w:lang w:eastAsia="en-GB"/>
              </w:rPr>
              <w:t>had</w:t>
            </w:r>
            <w:r w:rsidRPr="007D44E4">
              <w:rPr>
                <w:rFonts w:ascii="Calibri" w:eastAsia="Times New Roman" w:hAnsi="Calibri" w:cs="Calibri"/>
                <w:b w:val="0"/>
                <w:color w:val="1F497D" w:themeColor="text2"/>
                <w:sz w:val="20"/>
                <w:szCs w:val="20"/>
                <w:lang w:eastAsia="en-GB"/>
              </w:rPr>
              <w:t xml:space="preserve"> (e.g. number of people treated, impact on patient outcomes, </w:t>
            </w:r>
            <w:r>
              <w:rPr>
                <w:rFonts w:ascii="Calibri" w:eastAsia="Times New Roman" w:hAnsi="Calibri" w:cs="Calibri"/>
                <w:b w:val="0"/>
                <w:color w:val="1F497D" w:themeColor="text2"/>
                <w:sz w:val="20"/>
                <w:szCs w:val="20"/>
                <w:lang w:eastAsia="en-GB"/>
              </w:rPr>
              <w:t xml:space="preserve">or </w:t>
            </w:r>
            <w:r w:rsidRPr="007D44E4">
              <w:rPr>
                <w:rFonts w:ascii="Calibri" w:eastAsia="Times New Roman" w:hAnsi="Calibri" w:cs="Calibri"/>
                <w:b w:val="0"/>
                <w:color w:val="1F497D" w:themeColor="text2"/>
                <w:sz w:val="20"/>
                <w:szCs w:val="20"/>
                <w:lang w:eastAsia="en-GB"/>
              </w:rPr>
              <w:t>reduction in stigma)?</w:t>
            </w:r>
          </w:p>
        </w:tc>
      </w:tr>
      <w:tr w:rsidR="003F466E" w14:paraId="540AB232"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5EF193D" w14:textId="6E9EF78A" w:rsidR="00412424" w:rsidRPr="008A2F34" w:rsidRDefault="00945569" w:rsidP="008A2F34">
            <w:pPr>
              <w:pStyle w:val="ListParagraph"/>
              <w:numPr>
                <w:ilvl w:val="0"/>
                <w:numId w:val="24"/>
              </w:numPr>
              <w:ind w:left="360"/>
              <w:rPr>
                <w:b w:val="0"/>
                <w:bCs w:val="0"/>
                <w:lang w:bidi="ar-JO"/>
              </w:rPr>
            </w:pPr>
            <w:r w:rsidRPr="008A2F34">
              <w:rPr>
                <w:b w:val="0"/>
                <w:bCs w:val="0"/>
                <w:lang w:bidi="ar-JO"/>
              </w:rPr>
              <w:t xml:space="preserve">Annually, over 700 beneficiaries receive mental health care at the </w:t>
            </w:r>
            <w:r w:rsidR="00984DAD">
              <w:rPr>
                <w:b w:val="0"/>
                <w:bCs w:val="0"/>
                <w:lang w:bidi="ar-JO"/>
              </w:rPr>
              <w:t xml:space="preserve">PHC </w:t>
            </w:r>
            <w:r w:rsidRPr="008A2F34">
              <w:rPr>
                <w:b w:val="0"/>
                <w:bCs w:val="0"/>
                <w:lang w:bidi="ar-JO"/>
              </w:rPr>
              <w:t>level</w:t>
            </w:r>
          </w:p>
          <w:p w14:paraId="04874264" w14:textId="0D7CC90F" w:rsidR="00412424" w:rsidRPr="00603158" w:rsidRDefault="00945569" w:rsidP="008A2F34">
            <w:pPr>
              <w:pStyle w:val="ListParagraph"/>
              <w:numPr>
                <w:ilvl w:val="0"/>
                <w:numId w:val="24"/>
              </w:numPr>
              <w:ind w:left="360"/>
              <w:rPr>
                <w:b w:val="0"/>
                <w:bCs w:val="0"/>
                <w:lang w:bidi="ar-JO"/>
              </w:rPr>
            </w:pPr>
            <w:r w:rsidRPr="008A2F34">
              <w:rPr>
                <w:b w:val="0"/>
                <w:bCs w:val="0"/>
                <w:lang w:bidi="ar-JO"/>
              </w:rPr>
              <w:t>Annually, over 500 community members are targeted with mental health awareness activities</w:t>
            </w:r>
          </w:p>
        </w:tc>
      </w:tr>
      <w:tr w:rsidR="003F466E" w14:paraId="2711495F"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9630706" w14:textId="638B686F" w:rsidR="003F466E" w:rsidRPr="00531D2F" w:rsidRDefault="00412424" w:rsidP="00412424">
            <w:pPr>
              <w:spacing w:beforeLines="40" w:before="96" w:afterLines="40" w:after="96"/>
              <w:rPr>
                <w:rFonts w:ascii="Calibri" w:eastAsia="Times New Roman" w:hAnsi="Calibri" w:cs="Calibri"/>
                <w:b w:val="0"/>
                <w:color w:val="1F497D" w:themeColor="text2"/>
                <w:sz w:val="20"/>
                <w:szCs w:val="20"/>
                <w:lang w:eastAsia="en-GB"/>
              </w:rPr>
            </w:pPr>
            <w:r>
              <w:rPr>
                <w:rFonts w:ascii="Calibri" w:hAnsi="Calibri"/>
                <w:b w:val="0"/>
                <w:color w:val="1F497D"/>
                <w:sz w:val="20"/>
              </w:rPr>
              <w:t xml:space="preserve">Are </w:t>
            </w:r>
            <w:r w:rsidRPr="00412424">
              <w:rPr>
                <w:rFonts w:ascii="Calibri" w:hAnsi="Calibri"/>
                <w:b w:val="0"/>
                <w:color w:val="1F497D"/>
                <w:sz w:val="20"/>
              </w:rPr>
              <w:t>there</w:t>
            </w:r>
            <w:r w:rsidR="003F466E" w:rsidRPr="00412424">
              <w:rPr>
                <w:rFonts w:ascii="Calibri" w:hAnsi="Calibri"/>
                <w:b w:val="0"/>
                <w:color w:val="1F497D"/>
                <w:sz w:val="20"/>
              </w:rPr>
              <w:t xml:space="preserve"> </w:t>
            </w:r>
            <w:r w:rsidRPr="00412424">
              <w:rPr>
                <w:rFonts w:ascii="Calibri" w:hAnsi="Calibri"/>
                <w:b w:val="0"/>
                <w:color w:val="1F497D"/>
                <w:sz w:val="20"/>
              </w:rPr>
              <w:t xml:space="preserve">any published </w:t>
            </w:r>
            <w:r>
              <w:rPr>
                <w:rFonts w:ascii="Calibri" w:hAnsi="Calibri"/>
                <w:b w:val="0"/>
                <w:color w:val="1F497D"/>
                <w:sz w:val="20"/>
              </w:rPr>
              <w:t xml:space="preserve">studies/reports? </w:t>
            </w:r>
            <w:r w:rsidR="003F466E" w:rsidRPr="00412424">
              <w:rPr>
                <w:rFonts w:ascii="Calibri" w:hAnsi="Calibri"/>
                <w:b w:val="0"/>
                <w:color w:val="1F497D"/>
                <w:sz w:val="20"/>
              </w:rPr>
              <w:t>Please provide references</w:t>
            </w:r>
          </w:p>
        </w:tc>
      </w:tr>
      <w:tr w:rsidR="003F466E" w14:paraId="5E790B34"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D389355" w14:textId="04EEA895" w:rsidR="003F466E" w:rsidRPr="008A2F34" w:rsidRDefault="00984DAD" w:rsidP="00525EA9">
            <w:pPr>
              <w:spacing w:beforeLines="40" w:before="96" w:afterLines="40" w:after="96"/>
              <w:rPr>
                <w:rFonts w:ascii="Calibri" w:eastAsia="Times New Roman" w:hAnsi="Calibri" w:cs="Calibri"/>
                <w:b w:val="0"/>
                <w:lang w:eastAsia="en-GB"/>
              </w:rPr>
            </w:pPr>
            <w:r>
              <w:rPr>
                <w:rFonts w:ascii="Calibri" w:eastAsia="Times New Roman" w:hAnsi="Calibri" w:cs="Calibri"/>
                <w:b w:val="0"/>
                <w:lang w:eastAsia="en-GB"/>
              </w:rPr>
              <w:t xml:space="preserve">A </w:t>
            </w:r>
            <w:r w:rsidR="00525EA9" w:rsidRPr="008A2F34">
              <w:rPr>
                <w:rFonts w:ascii="Calibri" w:eastAsia="Times New Roman" w:hAnsi="Calibri" w:cs="Calibri"/>
                <w:b w:val="0"/>
                <w:lang w:eastAsia="en-GB"/>
              </w:rPr>
              <w:t>WHO Jordan</w:t>
            </w:r>
            <w:r w:rsidR="00D3459D">
              <w:rPr>
                <w:rFonts w:ascii="Calibri" w:eastAsia="Times New Roman" w:hAnsi="Calibri" w:cs="Calibri"/>
                <w:b w:val="0"/>
                <w:lang w:eastAsia="en-GB"/>
              </w:rPr>
              <w:t xml:space="preserve"> m</w:t>
            </w:r>
            <w:r w:rsidR="00525EA9" w:rsidRPr="008A2F34">
              <w:rPr>
                <w:rFonts w:ascii="Calibri" w:eastAsia="Times New Roman" w:hAnsi="Calibri" w:cs="Calibri"/>
                <w:b w:val="0"/>
                <w:lang w:eastAsia="en-GB"/>
              </w:rPr>
              <w:t>ission to assess the status of the mental health situation in Jordan and to inform policy revision, June 2016</w:t>
            </w:r>
          </w:p>
        </w:tc>
      </w:tr>
      <w:tr w:rsidR="003F466E" w14:paraId="43EF0EA9"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4F81BD" w:themeFill="accent1"/>
          </w:tcPr>
          <w:p w14:paraId="64AFB63C" w14:textId="77777777" w:rsidR="003F466E" w:rsidRPr="00EC6A2A" w:rsidRDefault="003F466E" w:rsidP="00BB0D7C">
            <w:pPr>
              <w:spacing w:beforeLines="40" w:before="96" w:afterLines="40" w:after="96"/>
              <w:rPr>
                <w:rFonts w:ascii="Calibri" w:eastAsia="Times New Roman" w:hAnsi="Calibri" w:cs="Calibri"/>
                <w:color w:val="FFFFFF" w:themeColor="background1"/>
                <w:sz w:val="20"/>
                <w:szCs w:val="20"/>
                <w:lang w:eastAsia="en-GB"/>
              </w:rPr>
            </w:pPr>
            <w:r w:rsidRPr="00EC6A2A">
              <w:rPr>
                <w:rFonts w:ascii="Calibri" w:eastAsia="Times New Roman" w:hAnsi="Calibri" w:cs="Calibri"/>
                <w:color w:val="FFFFFF" w:themeColor="background1"/>
                <w:sz w:val="20"/>
                <w:szCs w:val="20"/>
                <w:lang w:eastAsia="en-GB"/>
              </w:rPr>
              <w:t>ADDITIONAL INFORMATION</w:t>
            </w:r>
          </w:p>
        </w:tc>
      </w:tr>
      <w:tr w:rsidR="003F466E" w14:paraId="2EF86B2B"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40A90382" w14:textId="77777777" w:rsidR="003F466E" w:rsidRDefault="003F466E" w:rsidP="00412424">
            <w:pPr>
              <w:spacing w:beforeLines="40" w:before="96" w:afterLines="40" w:after="96"/>
            </w:pPr>
            <w:r>
              <w:rPr>
                <w:rFonts w:ascii="Calibri" w:eastAsia="Times New Roman" w:hAnsi="Calibri" w:cs="Calibri"/>
                <w:b w:val="0"/>
                <w:color w:val="1F497D" w:themeColor="text2"/>
                <w:sz w:val="20"/>
                <w:szCs w:val="20"/>
                <w:lang w:eastAsia="en-GB"/>
              </w:rPr>
              <w:t>Key r</w:t>
            </w:r>
            <w:r w:rsidRPr="009B0D60">
              <w:rPr>
                <w:rFonts w:ascii="Calibri" w:eastAsia="Times New Roman" w:hAnsi="Calibri" w:cs="Calibri"/>
                <w:b w:val="0"/>
                <w:color w:val="1F497D" w:themeColor="text2"/>
                <w:sz w:val="20"/>
                <w:szCs w:val="20"/>
                <w:lang w:eastAsia="en-GB"/>
              </w:rPr>
              <w:t>eferences</w:t>
            </w:r>
            <w:r>
              <w:rPr>
                <w:rFonts w:ascii="Calibri" w:eastAsia="Times New Roman" w:hAnsi="Calibri" w:cs="Calibri"/>
                <w:b w:val="0"/>
                <w:color w:val="1F497D" w:themeColor="text2"/>
                <w:sz w:val="20"/>
                <w:szCs w:val="20"/>
                <w:lang w:eastAsia="en-GB"/>
              </w:rPr>
              <w:t>/documents (we can link electronically to these)</w:t>
            </w:r>
          </w:p>
        </w:tc>
      </w:tr>
      <w:tr w:rsidR="003F466E" w14:paraId="0BE3DD81"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auto"/>
          </w:tcPr>
          <w:p w14:paraId="690BFC88" w14:textId="77777777" w:rsidR="00525EA9" w:rsidRPr="008A2F34" w:rsidRDefault="00FE74A7" w:rsidP="00525EA9">
            <w:pPr>
              <w:spacing w:beforeLines="40" w:before="96" w:afterLines="40" w:after="96"/>
              <w:rPr>
                <w:rFonts w:ascii="Calibri" w:eastAsia="Times New Roman" w:hAnsi="Calibri" w:cs="Calibri"/>
                <w:b w:val="0"/>
                <w:color w:val="1F497D" w:themeColor="text2"/>
                <w:lang w:eastAsia="en-GB"/>
              </w:rPr>
            </w:pPr>
            <w:hyperlink r:id="rId8" w:history="1">
              <w:r w:rsidR="00525EA9" w:rsidRPr="008A2F34">
                <w:rPr>
                  <w:rStyle w:val="Hyperlink"/>
                  <w:rFonts w:ascii="Calibri" w:eastAsia="Times New Roman" w:hAnsi="Calibri" w:cs="Calibri"/>
                  <w:b w:val="0"/>
                  <w:bCs w:val="0"/>
                  <w:lang w:eastAsia="en-GB"/>
                </w:rPr>
                <w:t>http://www.mindbank.info/co</w:t>
              </w:r>
              <w:r w:rsidR="00525EA9" w:rsidRPr="008A2F34">
                <w:rPr>
                  <w:rStyle w:val="Hyperlink"/>
                  <w:rFonts w:ascii="Calibri" w:eastAsia="Times New Roman" w:hAnsi="Calibri" w:cs="Calibri"/>
                  <w:b w:val="0"/>
                  <w:bCs w:val="0"/>
                  <w:lang w:eastAsia="en-GB"/>
                </w:rPr>
                <w:t>l</w:t>
              </w:r>
              <w:r w:rsidR="00525EA9" w:rsidRPr="008A2F34">
                <w:rPr>
                  <w:rStyle w:val="Hyperlink"/>
                  <w:rFonts w:ascii="Calibri" w:eastAsia="Times New Roman" w:hAnsi="Calibri" w:cs="Calibri"/>
                  <w:b w:val="0"/>
                  <w:bCs w:val="0"/>
                  <w:lang w:eastAsia="en-GB"/>
                </w:rPr>
                <w:t>lection/country/jordan</w:t>
              </w:r>
            </w:hyperlink>
          </w:p>
        </w:tc>
      </w:tr>
      <w:tr w:rsidR="003F466E" w14:paraId="287759DE"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3FB54726" w14:textId="77777777" w:rsidR="003F466E" w:rsidRPr="009B0D60" w:rsidRDefault="003F466E" w:rsidP="00412424">
            <w:pPr>
              <w:spacing w:beforeLines="40" w:before="96" w:afterLines="40" w:after="96"/>
              <w:rPr>
                <w:rFonts w:ascii="Calibri" w:eastAsia="Times New Roman" w:hAnsi="Calibri" w:cs="Calibri"/>
                <w:b w:val="0"/>
                <w:color w:val="1F497D" w:themeColor="text2"/>
                <w:sz w:val="20"/>
                <w:szCs w:val="20"/>
                <w:lang w:eastAsia="en-GB"/>
              </w:rPr>
            </w:pPr>
            <w:r>
              <w:rPr>
                <w:rFonts w:ascii="Calibri" w:eastAsia="Times New Roman" w:hAnsi="Calibri" w:cs="Calibri"/>
                <w:b w:val="0"/>
                <w:color w:val="1F497D" w:themeColor="text2"/>
                <w:sz w:val="20"/>
                <w:szCs w:val="20"/>
                <w:lang w:eastAsia="en-GB"/>
              </w:rPr>
              <w:t>Do yo</w:t>
            </w:r>
            <w:r w:rsidR="008B361C">
              <w:rPr>
                <w:rFonts w:ascii="Calibri" w:eastAsia="Times New Roman" w:hAnsi="Calibri" w:cs="Calibri"/>
                <w:b w:val="0"/>
                <w:color w:val="1F497D" w:themeColor="text2"/>
                <w:sz w:val="20"/>
                <w:szCs w:val="20"/>
                <w:lang w:eastAsia="en-GB"/>
              </w:rPr>
              <w:t xml:space="preserve">u have any documents </w:t>
            </w:r>
            <w:r>
              <w:rPr>
                <w:rFonts w:ascii="Calibri" w:eastAsia="Times New Roman" w:hAnsi="Calibri" w:cs="Calibri"/>
                <w:b w:val="0"/>
                <w:color w:val="1F497D" w:themeColor="text2"/>
                <w:sz w:val="20"/>
                <w:szCs w:val="20"/>
                <w:lang w:eastAsia="en-GB"/>
              </w:rPr>
              <w:t xml:space="preserve">that you would be willing to share to be adapted and implemented in other settings, such as training manuals or intervention </w:t>
            </w:r>
            <w:r w:rsidR="00412424">
              <w:rPr>
                <w:rFonts w:ascii="Calibri" w:eastAsia="Times New Roman" w:hAnsi="Calibri" w:cs="Calibri"/>
                <w:b w:val="0"/>
                <w:color w:val="1F497D" w:themeColor="text2"/>
                <w:sz w:val="20"/>
                <w:szCs w:val="20"/>
                <w:lang w:eastAsia="en-GB"/>
              </w:rPr>
              <w:t>manuals?</w:t>
            </w:r>
          </w:p>
        </w:tc>
      </w:tr>
      <w:tr w:rsidR="003F466E" w14:paraId="1A6E2EBA"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auto"/>
          </w:tcPr>
          <w:p w14:paraId="05BF640E" w14:textId="77777777" w:rsidR="003F466E" w:rsidRPr="009B0D60" w:rsidRDefault="003F466E" w:rsidP="00BB0D7C">
            <w:pPr>
              <w:spacing w:beforeLines="40" w:before="96" w:afterLines="40" w:after="96"/>
              <w:rPr>
                <w:rFonts w:ascii="Calibri" w:eastAsia="Times New Roman" w:hAnsi="Calibri" w:cs="Calibri"/>
                <w:b w:val="0"/>
                <w:color w:val="1F497D" w:themeColor="text2"/>
                <w:sz w:val="20"/>
                <w:szCs w:val="20"/>
                <w:lang w:eastAsia="en-GB"/>
              </w:rPr>
            </w:pPr>
          </w:p>
        </w:tc>
      </w:tr>
    </w:tbl>
    <w:p w14:paraId="10034D8C" w14:textId="77777777" w:rsidR="004300F4" w:rsidRDefault="004300F4"/>
    <w:p w14:paraId="69C29B45" w14:textId="77777777" w:rsidR="00645D8A" w:rsidRPr="001B3CA6" w:rsidRDefault="00645D8A" w:rsidP="001B3CA6">
      <w:pPr>
        <w:rPr>
          <w:rFonts w:ascii="Times New Roman" w:hAnsi="Times New Roman"/>
          <w:sz w:val="24"/>
          <w:szCs w:val="24"/>
          <w:lang w:val="en-GB"/>
        </w:rPr>
      </w:pPr>
      <w:r>
        <w:rPr>
          <w:rFonts w:ascii="Times New Roman" w:hAnsi="Times New Roman"/>
          <w:sz w:val="24"/>
          <w:szCs w:val="24"/>
          <w:lang w:val="en-GB"/>
        </w:rPr>
        <w:t xml:space="preserve"> </w:t>
      </w:r>
    </w:p>
    <w:sectPr w:rsidR="00645D8A" w:rsidRPr="001B3CA6" w:rsidSect="0043662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9271" w14:textId="77777777" w:rsidR="00E3231C" w:rsidRDefault="00E3231C" w:rsidP="003B0D58">
      <w:pPr>
        <w:spacing w:after="0" w:line="240" w:lineRule="auto"/>
      </w:pPr>
      <w:r>
        <w:separator/>
      </w:r>
    </w:p>
  </w:endnote>
  <w:endnote w:type="continuationSeparator" w:id="0">
    <w:p w14:paraId="5CB4F0DC" w14:textId="77777777" w:rsidR="00E3231C" w:rsidRDefault="00E3231C" w:rsidP="003B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4836"/>
      <w:docPartObj>
        <w:docPartGallery w:val="Page Numbers (Bottom of Page)"/>
        <w:docPartUnique/>
      </w:docPartObj>
    </w:sdtPr>
    <w:sdtEndPr>
      <w:rPr>
        <w:spacing w:val="60"/>
      </w:rPr>
    </w:sdtEndPr>
    <w:sdtContent>
      <w:p w14:paraId="66185FA2" w14:textId="77777777" w:rsidR="00D609F6" w:rsidRDefault="00A80DE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315A">
          <w:rPr>
            <w:noProof/>
          </w:rPr>
          <w:t>3</w:t>
        </w:r>
        <w:r>
          <w:rPr>
            <w:noProof/>
          </w:rPr>
          <w:fldChar w:fldCharType="end"/>
        </w:r>
        <w:r w:rsidR="00D609F6">
          <w:t xml:space="preserve"> | </w:t>
        </w:r>
        <w:r w:rsidR="00D609F6">
          <w:rPr>
            <w:color w:val="7F7F7F" w:themeColor="background1" w:themeShade="7F"/>
            <w:spacing w:val="60"/>
          </w:rPr>
          <w:t>Page</w:t>
        </w:r>
      </w:p>
    </w:sdtContent>
  </w:sdt>
  <w:p w14:paraId="5019AE2E" w14:textId="77777777" w:rsidR="00D609F6" w:rsidRDefault="00D60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FCDF" w14:textId="77777777" w:rsidR="00E3231C" w:rsidRDefault="00E3231C" w:rsidP="003B0D58">
      <w:pPr>
        <w:spacing w:after="0" w:line="240" w:lineRule="auto"/>
      </w:pPr>
      <w:r>
        <w:separator/>
      </w:r>
    </w:p>
  </w:footnote>
  <w:footnote w:type="continuationSeparator" w:id="0">
    <w:p w14:paraId="0C60A88B" w14:textId="77777777" w:rsidR="00E3231C" w:rsidRDefault="00E3231C" w:rsidP="003B0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D2F"/>
    <w:multiLevelType w:val="hybridMultilevel"/>
    <w:tmpl w:val="E7AEBAB4"/>
    <w:lvl w:ilvl="0" w:tplc="56267EB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E16D4"/>
    <w:multiLevelType w:val="hybridMultilevel"/>
    <w:tmpl w:val="FDA8DE68"/>
    <w:lvl w:ilvl="0" w:tplc="2D28C256">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F153DD"/>
    <w:multiLevelType w:val="hybridMultilevel"/>
    <w:tmpl w:val="72FC8A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F876BB0"/>
    <w:multiLevelType w:val="hybridMultilevel"/>
    <w:tmpl w:val="169A8006"/>
    <w:lvl w:ilvl="0" w:tplc="5A1E8A5A">
      <w:numFmt w:val="bullet"/>
      <w:lvlText w:val="─"/>
      <w:lvlJc w:val="left"/>
      <w:pPr>
        <w:ind w:left="720" w:hanging="360"/>
      </w:pPr>
      <w:rPr>
        <w:rFonts w:ascii="Calibri" w:eastAsia="WenQuanYi Zen He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22F8"/>
    <w:multiLevelType w:val="hybridMultilevel"/>
    <w:tmpl w:val="90C8B69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FE31D32"/>
    <w:multiLevelType w:val="hybridMultilevel"/>
    <w:tmpl w:val="85A0A980"/>
    <w:lvl w:ilvl="0" w:tplc="21E4B3EA">
      <w:start w:val="1"/>
      <w:numFmt w:val="lowerLetter"/>
      <w:lvlText w:val="%1."/>
      <w:lvlJc w:val="left"/>
      <w:pPr>
        <w:tabs>
          <w:tab w:val="num" w:pos="720"/>
        </w:tabs>
        <w:ind w:left="720" w:hanging="360"/>
      </w:pPr>
    </w:lvl>
    <w:lvl w:ilvl="1" w:tplc="8DD2175A" w:tentative="1">
      <w:start w:val="1"/>
      <w:numFmt w:val="lowerLetter"/>
      <w:lvlText w:val="%2."/>
      <w:lvlJc w:val="left"/>
      <w:pPr>
        <w:tabs>
          <w:tab w:val="num" w:pos="1440"/>
        </w:tabs>
        <w:ind w:left="1440" w:hanging="360"/>
      </w:pPr>
    </w:lvl>
    <w:lvl w:ilvl="2" w:tplc="2DCC4828" w:tentative="1">
      <w:start w:val="1"/>
      <w:numFmt w:val="lowerLetter"/>
      <w:lvlText w:val="%3."/>
      <w:lvlJc w:val="left"/>
      <w:pPr>
        <w:tabs>
          <w:tab w:val="num" w:pos="2160"/>
        </w:tabs>
        <w:ind w:left="2160" w:hanging="360"/>
      </w:pPr>
    </w:lvl>
    <w:lvl w:ilvl="3" w:tplc="B7884A9C" w:tentative="1">
      <w:start w:val="1"/>
      <w:numFmt w:val="lowerLetter"/>
      <w:lvlText w:val="%4."/>
      <w:lvlJc w:val="left"/>
      <w:pPr>
        <w:tabs>
          <w:tab w:val="num" w:pos="2880"/>
        </w:tabs>
        <w:ind w:left="2880" w:hanging="360"/>
      </w:pPr>
    </w:lvl>
    <w:lvl w:ilvl="4" w:tplc="DA381CDE" w:tentative="1">
      <w:start w:val="1"/>
      <w:numFmt w:val="lowerLetter"/>
      <w:lvlText w:val="%5."/>
      <w:lvlJc w:val="left"/>
      <w:pPr>
        <w:tabs>
          <w:tab w:val="num" w:pos="3600"/>
        </w:tabs>
        <w:ind w:left="3600" w:hanging="360"/>
      </w:pPr>
    </w:lvl>
    <w:lvl w:ilvl="5" w:tplc="FA4CBF2A" w:tentative="1">
      <w:start w:val="1"/>
      <w:numFmt w:val="lowerLetter"/>
      <w:lvlText w:val="%6."/>
      <w:lvlJc w:val="left"/>
      <w:pPr>
        <w:tabs>
          <w:tab w:val="num" w:pos="4320"/>
        </w:tabs>
        <w:ind w:left="4320" w:hanging="360"/>
      </w:pPr>
    </w:lvl>
    <w:lvl w:ilvl="6" w:tplc="3FC6DFD6" w:tentative="1">
      <w:start w:val="1"/>
      <w:numFmt w:val="lowerLetter"/>
      <w:lvlText w:val="%7."/>
      <w:lvlJc w:val="left"/>
      <w:pPr>
        <w:tabs>
          <w:tab w:val="num" w:pos="5040"/>
        </w:tabs>
        <w:ind w:left="5040" w:hanging="360"/>
      </w:pPr>
    </w:lvl>
    <w:lvl w:ilvl="7" w:tplc="A230ABA2" w:tentative="1">
      <w:start w:val="1"/>
      <w:numFmt w:val="lowerLetter"/>
      <w:lvlText w:val="%8."/>
      <w:lvlJc w:val="left"/>
      <w:pPr>
        <w:tabs>
          <w:tab w:val="num" w:pos="5760"/>
        </w:tabs>
        <w:ind w:left="5760" w:hanging="360"/>
      </w:pPr>
    </w:lvl>
    <w:lvl w:ilvl="8" w:tplc="036EF0D8" w:tentative="1">
      <w:start w:val="1"/>
      <w:numFmt w:val="lowerLetter"/>
      <w:lvlText w:val="%9."/>
      <w:lvlJc w:val="left"/>
      <w:pPr>
        <w:tabs>
          <w:tab w:val="num" w:pos="6480"/>
        </w:tabs>
        <w:ind w:left="6480" w:hanging="360"/>
      </w:pPr>
    </w:lvl>
  </w:abstractNum>
  <w:abstractNum w:abstractNumId="6" w15:restartNumberingAfterBreak="0">
    <w:nsid w:val="1629572B"/>
    <w:multiLevelType w:val="hybridMultilevel"/>
    <w:tmpl w:val="BDF62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1148A"/>
    <w:multiLevelType w:val="hybridMultilevel"/>
    <w:tmpl w:val="4A168FF8"/>
    <w:lvl w:ilvl="0" w:tplc="0809000F">
      <w:start w:val="1"/>
      <w:numFmt w:val="decimal"/>
      <w:lvlText w:val="%1."/>
      <w:lvlJc w:val="left"/>
      <w:pPr>
        <w:ind w:left="-2520" w:hanging="360"/>
      </w:pPr>
    </w:lvl>
    <w:lvl w:ilvl="1" w:tplc="08090019">
      <w:start w:val="1"/>
      <w:numFmt w:val="lowerLetter"/>
      <w:lvlText w:val="%2."/>
      <w:lvlJc w:val="left"/>
      <w:pPr>
        <w:ind w:left="-1800" w:hanging="360"/>
      </w:pPr>
    </w:lvl>
    <w:lvl w:ilvl="2" w:tplc="0809001B">
      <w:start w:val="1"/>
      <w:numFmt w:val="decimal"/>
      <w:lvlText w:val="%3."/>
      <w:lvlJc w:val="left"/>
      <w:pPr>
        <w:tabs>
          <w:tab w:val="num" w:pos="-720"/>
        </w:tabs>
        <w:ind w:left="-720" w:hanging="360"/>
      </w:pPr>
    </w:lvl>
    <w:lvl w:ilvl="3" w:tplc="0809000F">
      <w:start w:val="1"/>
      <w:numFmt w:val="decimal"/>
      <w:lvlText w:val="%4."/>
      <w:lvlJc w:val="left"/>
      <w:pPr>
        <w:tabs>
          <w:tab w:val="num" w:pos="0"/>
        </w:tabs>
        <w:ind w:left="0" w:hanging="360"/>
      </w:pPr>
    </w:lvl>
    <w:lvl w:ilvl="4" w:tplc="08090019">
      <w:start w:val="1"/>
      <w:numFmt w:val="decimal"/>
      <w:lvlText w:val="%5."/>
      <w:lvlJc w:val="left"/>
      <w:pPr>
        <w:tabs>
          <w:tab w:val="num" w:pos="720"/>
        </w:tabs>
        <w:ind w:left="720" w:hanging="360"/>
      </w:pPr>
    </w:lvl>
    <w:lvl w:ilvl="5" w:tplc="0809001B">
      <w:start w:val="1"/>
      <w:numFmt w:val="decimal"/>
      <w:lvlText w:val="%6."/>
      <w:lvlJc w:val="left"/>
      <w:pPr>
        <w:tabs>
          <w:tab w:val="num" w:pos="1440"/>
        </w:tabs>
        <w:ind w:left="1440" w:hanging="360"/>
      </w:pPr>
    </w:lvl>
    <w:lvl w:ilvl="6" w:tplc="0809000F">
      <w:start w:val="1"/>
      <w:numFmt w:val="decimal"/>
      <w:lvlText w:val="%7."/>
      <w:lvlJc w:val="left"/>
      <w:pPr>
        <w:tabs>
          <w:tab w:val="num" w:pos="2160"/>
        </w:tabs>
        <w:ind w:left="2160" w:hanging="360"/>
      </w:pPr>
    </w:lvl>
    <w:lvl w:ilvl="7" w:tplc="08090019">
      <w:start w:val="1"/>
      <w:numFmt w:val="decimal"/>
      <w:lvlText w:val="%8."/>
      <w:lvlJc w:val="left"/>
      <w:pPr>
        <w:tabs>
          <w:tab w:val="num" w:pos="2880"/>
        </w:tabs>
        <w:ind w:left="2880" w:hanging="360"/>
      </w:pPr>
    </w:lvl>
    <w:lvl w:ilvl="8" w:tplc="0809001B">
      <w:start w:val="1"/>
      <w:numFmt w:val="decimal"/>
      <w:lvlText w:val="%9."/>
      <w:lvlJc w:val="left"/>
      <w:pPr>
        <w:tabs>
          <w:tab w:val="num" w:pos="3600"/>
        </w:tabs>
        <w:ind w:left="3600" w:hanging="360"/>
      </w:pPr>
    </w:lvl>
  </w:abstractNum>
  <w:abstractNum w:abstractNumId="8" w15:restartNumberingAfterBreak="0">
    <w:nsid w:val="1F8E52DA"/>
    <w:multiLevelType w:val="hybridMultilevel"/>
    <w:tmpl w:val="8CEE2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C6D2D"/>
    <w:multiLevelType w:val="hybridMultilevel"/>
    <w:tmpl w:val="49B0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23064"/>
    <w:multiLevelType w:val="hybridMultilevel"/>
    <w:tmpl w:val="50F2BF0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7C426D7"/>
    <w:multiLevelType w:val="hybridMultilevel"/>
    <w:tmpl w:val="48AC5636"/>
    <w:lvl w:ilvl="0" w:tplc="A572711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E59159D"/>
    <w:multiLevelType w:val="hybridMultilevel"/>
    <w:tmpl w:val="DA5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06FDF"/>
    <w:multiLevelType w:val="hybridMultilevel"/>
    <w:tmpl w:val="8AC2DDB4"/>
    <w:lvl w:ilvl="0" w:tplc="0876DF28">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644A38"/>
    <w:multiLevelType w:val="hybridMultilevel"/>
    <w:tmpl w:val="10249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60BD5"/>
    <w:multiLevelType w:val="hybridMultilevel"/>
    <w:tmpl w:val="44164ED2"/>
    <w:lvl w:ilvl="0" w:tplc="27ECEC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D4FEE"/>
    <w:multiLevelType w:val="hybridMultilevel"/>
    <w:tmpl w:val="50F2BF0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CC6655E"/>
    <w:multiLevelType w:val="hybridMultilevel"/>
    <w:tmpl w:val="0D7CC5BE"/>
    <w:lvl w:ilvl="0" w:tplc="B906D2A6">
      <w:start w:val="1"/>
      <w:numFmt w:val="bullet"/>
      <w:lvlText w:val="•"/>
      <w:lvlJc w:val="left"/>
      <w:pPr>
        <w:tabs>
          <w:tab w:val="num" w:pos="720"/>
        </w:tabs>
        <w:ind w:left="720" w:hanging="360"/>
      </w:pPr>
      <w:rPr>
        <w:rFonts w:ascii="Arial" w:hAnsi="Arial" w:hint="default"/>
      </w:rPr>
    </w:lvl>
    <w:lvl w:ilvl="1" w:tplc="EA7EA020">
      <w:start w:val="651"/>
      <w:numFmt w:val="bullet"/>
      <w:lvlText w:val="–"/>
      <w:lvlJc w:val="left"/>
      <w:pPr>
        <w:tabs>
          <w:tab w:val="num" w:pos="1440"/>
        </w:tabs>
        <w:ind w:left="1440" w:hanging="360"/>
      </w:pPr>
      <w:rPr>
        <w:rFonts w:ascii="Arial" w:hAnsi="Arial" w:hint="default"/>
      </w:rPr>
    </w:lvl>
    <w:lvl w:ilvl="2" w:tplc="81AAC2AA" w:tentative="1">
      <w:start w:val="1"/>
      <w:numFmt w:val="bullet"/>
      <w:lvlText w:val="•"/>
      <w:lvlJc w:val="left"/>
      <w:pPr>
        <w:tabs>
          <w:tab w:val="num" w:pos="2160"/>
        </w:tabs>
        <w:ind w:left="2160" w:hanging="360"/>
      </w:pPr>
      <w:rPr>
        <w:rFonts w:ascii="Arial" w:hAnsi="Arial" w:hint="default"/>
      </w:rPr>
    </w:lvl>
    <w:lvl w:ilvl="3" w:tplc="978EAC56" w:tentative="1">
      <w:start w:val="1"/>
      <w:numFmt w:val="bullet"/>
      <w:lvlText w:val="•"/>
      <w:lvlJc w:val="left"/>
      <w:pPr>
        <w:tabs>
          <w:tab w:val="num" w:pos="2880"/>
        </w:tabs>
        <w:ind w:left="2880" w:hanging="360"/>
      </w:pPr>
      <w:rPr>
        <w:rFonts w:ascii="Arial" w:hAnsi="Arial" w:hint="default"/>
      </w:rPr>
    </w:lvl>
    <w:lvl w:ilvl="4" w:tplc="E46C9778" w:tentative="1">
      <w:start w:val="1"/>
      <w:numFmt w:val="bullet"/>
      <w:lvlText w:val="•"/>
      <w:lvlJc w:val="left"/>
      <w:pPr>
        <w:tabs>
          <w:tab w:val="num" w:pos="3600"/>
        </w:tabs>
        <w:ind w:left="3600" w:hanging="360"/>
      </w:pPr>
      <w:rPr>
        <w:rFonts w:ascii="Arial" w:hAnsi="Arial" w:hint="default"/>
      </w:rPr>
    </w:lvl>
    <w:lvl w:ilvl="5" w:tplc="43FA6206" w:tentative="1">
      <w:start w:val="1"/>
      <w:numFmt w:val="bullet"/>
      <w:lvlText w:val="•"/>
      <w:lvlJc w:val="left"/>
      <w:pPr>
        <w:tabs>
          <w:tab w:val="num" w:pos="4320"/>
        </w:tabs>
        <w:ind w:left="4320" w:hanging="360"/>
      </w:pPr>
      <w:rPr>
        <w:rFonts w:ascii="Arial" w:hAnsi="Arial" w:hint="default"/>
      </w:rPr>
    </w:lvl>
    <w:lvl w:ilvl="6" w:tplc="F7B802B2" w:tentative="1">
      <w:start w:val="1"/>
      <w:numFmt w:val="bullet"/>
      <w:lvlText w:val="•"/>
      <w:lvlJc w:val="left"/>
      <w:pPr>
        <w:tabs>
          <w:tab w:val="num" w:pos="5040"/>
        </w:tabs>
        <w:ind w:left="5040" w:hanging="360"/>
      </w:pPr>
      <w:rPr>
        <w:rFonts w:ascii="Arial" w:hAnsi="Arial" w:hint="default"/>
      </w:rPr>
    </w:lvl>
    <w:lvl w:ilvl="7" w:tplc="A2807CCC" w:tentative="1">
      <w:start w:val="1"/>
      <w:numFmt w:val="bullet"/>
      <w:lvlText w:val="•"/>
      <w:lvlJc w:val="left"/>
      <w:pPr>
        <w:tabs>
          <w:tab w:val="num" w:pos="5760"/>
        </w:tabs>
        <w:ind w:left="5760" w:hanging="360"/>
      </w:pPr>
      <w:rPr>
        <w:rFonts w:ascii="Arial" w:hAnsi="Arial" w:hint="default"/>
      </w:rPr>
    </w:lvl>
    <w:lvl w:ilvl="8" w:tplc="3A7CF6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BF0D82"/>
    <w:multiLevelType w:val="hybridMultilevel"/>
    <w:tmpl w:val="D3C49322"/>
    <w:lvl w:ilvl="0" w:tplc="F152841C">
      <w:start w:val="1"/>
      <w:numFmt w:val="bullet"/>
      <w:lvlText w:val="•"/>
      <w:lvlJc w:val="left"/>
      <w:pPr>
        <w:tabs>
          <w:tab w:val="num" w:pos="720"/>
        </w:tabs>
        <w:ind w:left="720" w:hanging="360"/>
      </w:pPr>
      <w:rPr>
        <w:rFonts w:ascii="Arial" w:hAnsi="Arial" w:hint="default"/>
      </w:rPr>
    </w:lvl>
    <w:lvl w:ilvl="1" w:tplc="BC745828" w:tentative="1">
      <w:start w:val="1"/>
      <w:numFmt w:val="bullet"/>
      <w:lvlText w:val="•"/>
      <w:lvlJc w:val="left"/>
      <w:pPr>
        <w:tabs>
          <w:tab w:val="num" w:pos="1440"/>
        </w:tabs>
        <w:ind w:left="1440" w:hanging="360"/>
      </w:pPr>
      <w:rPr>
        <w:rFonts w:ascii="Arial" w:hAnsi="Arial" w:hint="default"/>
      </w:rPr>
    </w:lvl>
    <w:lvl w:ilvl="2" w:tplc="550E7BD4" w:tentative="1">
      <w:start w:val="1"/>
      <w:numFmt w:val="bullet"/>
      <w:lvlText w:val="•"/>
      <w:lvlJc w:val="left"/>
      <w:pPr>
        <w:tabs>
          <w:tab w:val="num" w:pos="2160"/>
        </w:tabs>
        <w:ind w:left="2160" w:hanging="360"/>
      </w:pPr>
      <w:rPr>
        <w:rFonts w:ascii="Arial" w:hAnsi="Arial" w:hint="default"/>
      </w:rPr>
    </w:lvl>
    <w:lvl w:ilvl="3" w:tplc="D906455C" w:tentative="1">
      <w:start w:val="1"/>
      <w:numFmt w:val="bullet"/>
      <w:lvlText w:val="•"/>
      <w:lvlJc w:val="left"/>
      <w:pPr>
        <w:tabs>
          <w:tab w:val="num" w:pos="2880"/>
        </w:tabs>
        <w:ind w:left="2880" w:hanging="360"/>
      </w:pPr>
      <w:rPr>
        <w:rFonts w:ascii="Arial" w:hAnsi="Arial" w:hint="default"/>
      </w:rPr>
    </w:lvl>
    <w:lvl w:ilvl="4" w:tplc="3E3610FA" w:tentative="1">
      <w:start w:val="1"/>
      <w:numFmt w:val="bullet"/>
      <w:lvlText w:val="•"/>
      <w:lvlJc w:val="left"/>
      <w:pPr>
        <w:tabs>
          <w:tab w:val="num" w:pos="3600"/>
        </w:tabs>
        <w:ind w:left="3600" w:hanging="360"/>
      </w:pPr>
      <w:rPr>
        <w:rFonts w:ascii="Arial" w:hAnsi="Arial" w:hint="default"/>
      </w:rPr>
    </w:lvl>
    <w:lvl w:ilvl="5" w:tplc="85AEE7E8" w:tentative="1">
      <w:start w:val="1"/>
      <w:numFmt w:val="bullet"/>
      <w:lvlText w:val="•"/>
      <w:lvlJc w:val="left"/>
      <w:pPr>
        <w:tabs>
          <w:tab w:val="num" w:pos="4320"/>
        </w:tabs>
        <w:ind w:left="4320" w:hanging="360"/>
      </w:pPr>
      <w:rPr>
        <w:rFonts w:ascii="Arial" w:hAnsi="Arial" w:hint="default"/>
      </w:rPr>
    </w:lvl>
    <w:lvl w:ilvl="6" w:tplc="475033D0" w:tentative="1">
      <w:start w:val="1"/>
      <w:numFmt w:val="bullet"/>
      <w:lvlText w:val="•"/>
      <w:lvlJc w:val="left"/>
      <w:pPr>
        <w:tabs>
          <w:tab w:val="num" w:pos="5040"/>
        </w:tabs>
        <w:ind w:left="5040" w:hanging="360"/>
      </w:pPr>
      <w:rPr>
        <w:rFonts w:ascii="Arial" w:hAnsi="Arial" w:hint="default"/>
      </w:rPr>
    </w:lvl>
    <w:lvl w:ilvl="7" w:tplc="3998F602" w:tentative="1">
      <w:start w:val="1"/>
      <w:numFmt w:val="bullet"/>
      <w:lvlText w:val="•"/>
      <w:lvlJc w:val="left"/>
      <w:pPr>
        <w:tabs>
          <w:tab w:val="num" w:pos="5760"/>
        </w:tabs>
        <w:ind w:left="5760" w:hanging="360"/>
      </w:pPr>
      <w:rPr>
        <w:rFonts w:ascii="Arial" w:hAnsi="Arial" w:hint="default"/>
      </w:rPr>
    </w:lvl>
    <w:lvl w:ilvl="8" w:tplc="5DD8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9506D4"/>
    <w:multiLevelType w:val="hybridMultilevel"/>
    <w:tmpl w:val="0B18D1F6"/>
    <w:lvl w:ilvl="0" w:tplc="27ECEC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A3C"/>
    <w:multiLevelType w:val="hybridMultilevel"/>
    <w:tmpl w:val="970C1F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61C132F"/>
    <w:multiLevelType w:val="hybridMultilevel"/>
    <w:tmpl w:val="434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45B92"/>
    <w:multiLevelType w:val="hybridMultilevel"/>
    <w:tmpl w:val="4FE0A8A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7302532A"/>
    <w:multiLevelType w:val="hybridMultilevel"/>
    <w:tmpl w:val="7752F14A"/>
    <w:lvl w:ilvl="0" w:tplc="2B1C5530">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2"/>
  </w:num>
  <w:num w:numId="9">
    <w:abstractNumId w:val="11"/>
  </w:num>
  <w:num w:numId="10">
    <w:abstractNumId w:val="19"/>
  </w:num>
  <w:num w:numId="11">
    <w:abstractNumId w:val="15"/>
  </w:num>
  <w:num w:numId="12">
    <w:abstractNumId w:val="0"/>
  </w:num>
  <w:num w:numId="13">
    <w:abstractNumId w:val="20"/>
  </w:num>
  <w:num w:numId="14">
    <w:abstractNumId w:val="13"/>
  </w:num>
  <w:num w:numId="15">
    <w:abstractNumId w:val="1"/>
  </w:num>
  <w:num w:numId="16">
    <w:abstractNumId w:val="5"/>
  </w:num>
  <w:num w:numId="17">
    <w:abstractNumId w:val="18"/>
  </w:num>
  <w:num w:numId="18">
    <w:abstractNumId w:val="17"/>
  </w:num>
  <w:num w:numId="19">
    <w:abstractNumId w:val="21"/>
  </w:num>
  <w:num w:numId="20">
    <w:abstractNumId w:val="14"/>
  </w:num>
  <w:num w:numId="21">
    <w:abstractNumId w:val="8"/>
  </w:num>
  <w:num w:numId="22">
    <w:abstractNumId w:val="6"/>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C56"/>
    <w:rsid w:val="00000357"/>
    <w:rsid w:val="00005F4A"/>
    <w:rsid w:val="000068E6"/>
    <w:rsid w:val="0004135D"/>
    <w:rsid w:val="000724FA"/>
    <w:rsid w:val="0009030B"/>
    <w:rsid w:val="00090C12"/>
    <w:rsid w:val="0009277E"/>
    <w:rsid w:val="000927E3"/>
    <w:rsid w:val="00095C71"/>
    <w:rsid w:val="000B33BC"/>
    <w:rsid w:val="000B6D4C"/>
    <w:rsid w:val="000D6BA2"/>
    <w:rsid w:val="00100DCE"/>
    <w:rsid w:val="00152B06"/>
    <w:rsid w:val="001760E0"/>
    <w:rsid w:val="00190E7B"/>
    <w:rsid w:val="001A778D"/>
    <w:rsid w:val="001B3CA6"/>
    <w:rsid w:val="001D4910"/>
    <w:rsid w:val="002221B3"/>
    <w:rsid w:val="002271B3"/>
    <w:rsid w:val="00262CCC"/>
    <w:rsid w:val="00267986"/>
    <w:rsid w:val="002A1A0F"/>
    <w:rsid w:val="002A2C16"/>
    <w:rsid w:val="002A72BB"/>
    <w:rsid w:val="002C5E8B"/>
    <w:rsid w:val="002F1C68"/>
    <w:rsid w:val="002F4131"/>
    <w:rsid w:val="00311CE1"/>
    <w:rsid w:val="003422E3"/>
    <w:rsid w:val="00360A68"/>
    <w:rsid w:val="00381867"/>
    <w:rsid w:val="00396F2D"/>
    <w:rsid w:val="003A1274"/>
    <w:rsid w:val="003A5B46"/>
    <w:rsid w:val="003A7B1E"/>
    <w:rsid w:val="003B0D58"/>
    <w:rsid w:val="003F466E"/>
    <w:rsid w:val="003F6014"/>
    <w:rsid w:val="0040185C"/>
    <w:rsid w:val="00412424"/>
    <w:rsid w:val="004300F4"/>
    <w:rsid w:val="00436626"/>
    <w:rsid w:val="00437B31"/>
    <w:rsid w:val="00444EC7"/>
    <w:rsid w:val="00466DBE"/>
    <w:rsid w:val="00470C8E"/>
    <w:rsid w:val="00491AF9"/>
    <w:rsid w:val="004C03EF"/>
    <w:rsid w:val="004C27C9"/>
    <w:rsid w:val="004D6EF7"/>
    <w:rsid w:val="004E2AD5"/>
    <w:rsid w:val="004F119A"/>
    <w:rsid w:val="004F1F25"/>
    <w:rsid w:val="004F52F9"/>
    <w:rsid w:val="00525EA9"/>
    <w:rsid w:val="005507FC"/>
    <w:rsid w:val="00567821"/>
    <w:rsid w:val="005927E3"/>
    <w:rsid w:val="005A3BC9"/>
    <w:rsid w:val="005D5C56"/>
    <w:rsid w:val="00603158"/>
    <w:rsid w:val="00631F24"/>
    <w:rsid w:val="00643F18"/>
    <w:rsid w:val="00645D8A"/>
    <w:rsid w:val="0069018A"/>
    <w:rsid w:val="006B4C95"/>
    <w:rsid w:val="006D23D6"/>
    <w:rsid w:val="00712F19"/>
    <w:rsid w:val="0072025B"/>
    <w:rsid w:val="00736FB7"/>
    <w:rsid w:val="00744A82"/>
    <w:rsid w:val="00757211"/>
    <w:rsid w:val="007576BF"/>
    <w:rsid w:val="00766124"/>
    <w:rsid w:val="007C29FC"/>
    <w:rsid w:val="007D44E4"/>
    <w:rsid w:val="007E30E3"/>
    <w:rsid w:val="007F0AC8"/>
    <w:rsid w:val="007F3817"/>
    <w:rsid w:val="00802D53"/>
    <w:rsid w:val="00855BD3"/>
    <w:rsid w:val="008564AB"/>
    <w:rsid w:val="008839A4"/>
    <w:rsid w:val="00886895"/>
    <w:rsid w:val="008A2F34"/>
    <w:rsid w:val="008A63A7"/>
    <w:rsid w:val="008B361C"/>
    <w:rsid w:val="008B68A1"/>
    <w:rsid w:val="008B7C8E"/>
    <w:rsid w:val="008F1BF1"/>
    <w:rsid w:val="00903648"/>
    <w:rsid w:val="00921D9C"/>
    <w:rsid w:val="009234DD"/>
    <w:rsid w:val="00931948"/>
    <w:rsid w:val="00945569"/>
    <w:rsid w:val="00984DAD"/>
    <w:rsid w:val="00993AC4"/>
    <w:rsid w:val="009B0749"/>
    <w:rsid w:val="009B0D60"/>
    <w:rsid w:val="009C7361"/>
    <w:rsid w:val="009F6A36"/>
    <w:rsid w:val="00A3068F"/>
    <w:rsid w:val="00A80DE6"/>
    <w:rsid w:val="00AA2712"/>
    <w:rsid w:val="00AA4CF6"/>
    <w:rsid w:val="00AB60C9"/>
    <w:rsid w:val="00B25D07"/>
    <w:rsid w:val="00B3233E"/>
    <w:rsid w:val="00B36E65"/>
    <w:rsid w:val="00B375D2"/>
    <w:rsid w:val="00B6218B"/>
    <w:rsid w:val="00B651CC"/>
    <w:rsid w:val="00B7705E"/>
    <w:rsid w:val="00B8476F"/>
    <w:rsid w:val="00BB0D7C"/>
    <w:rsid w:val="00BB1F6F"/>
    <w:rsid w:val="00BB7F92"/>
    <w:rsid w:val="00BC398C"/>
    <w:rsid w:val="00BD7F71"/>
    <w:rsid w:val="00C076C8"/>
    <w:rsid w:val="00C30ABF"/>
    <w:rsid w:val="00C473A7"/>
    <w:rsid w:val="00C52163"/>
    <w:rsid w:val="00C61978"/>
    <w:rsid w:val="00C70F63"/>
    <w:rsid w:val="00C712BC"/>
    <w:rsid w:val="00C7349A"/>
    <w:rsid w:val="00CA1A0E"/>
    <w:rsid w:val="00CC2748"/>
    <w:rsid w:val="00D3459D"/>
    <w:rsid w:val="00D57F5A"/>
    <w:rsid w:val="00D57FB8"/>
    <w:rsid w:val="00D609F6"/>
    <w:rsid w:val="00D712EF"/>
    <w:rsid w:val="00DB0526"/>
    <w:rsid w:val="00DB6B60"/>
    <w:rsid w:val="00DF2202"/>
    <w:rsid w:val="00E3231C"/>
    <w:rsid w:val="00E364D5"/>
    <w:rsid w:val="00E93E53"/>
    <w:rsid w:val="00EB6B39"/>
    <w:rsid w:val="00EC6A2A"/>
    <w:rsid w:val="00ED03F5"/>
    <w:rsid w:val="00EE2B2A"/>
    <w:rsid w:val="00EE2EB6"/>
    <w:rsid w:val="00F0403E"/>
    <w:rsid w:val="00F06D69"/>
    <w:rsid w:val="00F100A0"/>
    <w:rsid w:val="00F151C6"/>
    <w:rsid w:val="00F25FF2"/>
    <w:rsid w:val="00F27316"/>
    <w:rsid w:val="00F3251B"/>
    <w:rsid w:val="00F34AEB"/>
    <w:rsid w:val="00F5315A"/>
    <w:rsid w:val="00F829D8"/>
    <w:rsid w:val="00F948D7"/>
    <w:rsid w:val="00F97641"/>
    <w:rsid w:val="00FA16D8"/>
    <w:rsid w:val="00FD3513"/>
    <w:rsid w:val="00FD71FC"/>
    <w:rsid w:val="00FE1FF9"/>
    <w:rsid w:val="00FE74A7"/>
    <w:rsid w:val="00FF1C2F"/>
    <w:rsid w:val="00FF4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0C99"/>
  <w15:docId w15:val="{98D7073E-65A2-4C5C-B042-EE531DCA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C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60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C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D5C56"/>
    <w:rPr>
      <w:color w:val="0000FF"/>
      <w:u w:val="single"/>
    </w:rPr>
  </w:style>
  <w:style w:type="paragraph" w:styleId="CommentText">
    <w:name w:val="annotation text"/>
    <w:basedOn w:val="Normal"/>
    <w:link w:val="CommentTextChar"/>
    <w:uiPriority w:val="99"/>
    <w:semiHidden/>
    <w:unhideWhenUsed/>
    <w:rsid w:val="005D5C56"/>
    <w:pPr>
      <w:spacing w:line="240" w:lineRule="auto"/>
    </w:pPr>
    <w:rPr>
      <w:sz w:val="20"/>
      <w:szCs w:val="20"/>
    </w:rPr>
  </w:style>
  <w:style w:type="character" w:customStyle="1" w:styleId="CommentTextChar">
    <w:name w:val="Comment Text Char"/>
    <w:basedOn w:val="DefaultParagraphFont"/>
    <w:link w:val="CommentText"/>
    <w:uiPriority w:val="99"/>
    <w:semiHidden/>
    <w:rsid w:val="005D5C56"/>
    <w:rPr>
      <w:sz w:val="20"/>
      <w:szCs w:val="20"/>
    </w:rPr>
  </w:style>
  <w:style w:type="paragraph" w:styleId="ListParagraph">
    <w:name w:val="List Paragraph"/>
    <w:basedOn w:val="Normal"/>
    <w:uiPriority w:val="34"/>
    <w:qFormat/>
    <w:rsid w:val="005D5C56"/>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D5C56"/>
    <w:rPr>
      <w:sz w:val="16"/>
      <w:szCs w:val="16"/>
    </w:rPr>
  </w:style>
  <w:style w:type="character" w:customStyle="1" w:styleId="apple-converted-space">
    <w:name w:val="apple-converted-space"/>
    <w:basedOn w:val="DefaultParagraphFont"/>
    <w:rsid w:val="005D5C56"/>
  </w:style>
  <w:style w:type="table" w:customStyle="1" w:styleId="LightList-Accent11">
    <w:name w:val="Light List - Accent 11"/>
    <w:basedOn w:val="TableNormal"/>
    <w:uiPriority w:val="61"/>
    <w:rsid w:val="005D5C5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D5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56"/>
    <w:rPr>
      <w:rFonts w:ascii="Tahoma" w:hAnsi="Tahoma" w:cs="Tahoma"/>
      <w:sz w:val="16"/>
      <w:szCs w:val="16"/>
    </w:rPr>
  </w:style>
  <w:style w:type="table" w:customStyle="1" w:styleId="MediumShading1-Accent11">
    <w:name w:val="Medium Shading 1 - Accent 11"/>
    <w:basedOn w:val="TableNormal"/>
    <w:uiPriority w:val="63"/>
    <w:rsid w:val="00DB052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DB0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7F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AB60C9"/>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BB7F92"/>
    <w:rPr>
      <w:b/>
      <w:bCs/>
    </w:rPr>
  </w:style>
  <w:style w:type="character" w:customStyle="1" w:styleId="CommentSubjectChar">
    <w:name w:val="Comment Subject Char"/>
    <w:basedOn w:val="CommentTextChar"/>
    <w:link w:val="CommentSubject"/>
    <w:uiPriority w:val="99"/>
    <w:semiHidden/>
    <w:rsid w:val="00BB7F92"/>
    <w:rPr>
      <w:b/>
      <w:bCs/>
      <w:sz w:val="20"/>
      <w:szCs w:val="20"/>
    </w:rPr>
  </w:style>
  <w:style w:type="paragraph" w:styleId="Header">
    <w:name w:val="header"/>
    <w:basedOn w:val="Normal"/>
    <w:link w:val="HeaderChar"/>
    <w:uiPriority w:val="99"/>
    <w:semiHidden/>
    <w:unhideWhenUsed/>
    <w:rsid w:val="003B0D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0D58"/>
  </w:style>
  <w:style w:type="paragraph" w:styleId="Footer">
    <w:name w:val="footer"/>
    <w:basedOn w:val="Normal"/>
    <w:link w:val="FooterChar"/>
    <w:uiPriority w:val="99"/>
    <w:unhideWhenUsed/>
    <w:rsid w:val="003B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D58"/>
  </w:style>
  <w:style w:type="paragraph" w:styleId="NoSpacing">
    <w:name w:val="No Spacing"/>
    <w:uiPriority w:val="1"/>
    <w:qFormat/>
    <w:rsid w:val="00B651CC"/>
    <w:pPr>
      <w:spacing w:after="0" w:line="240" w:lineRule="auto"/>
    </w:pPr>
  </w:style>
  <w:style w:type="paragraph" w:styleId="NormalWeb">
    <w:name w:val="Normal (Web)"/>
    <w:basedOn w:val="Normal"/>
    <w:uiPriority w:val="99"/>
    <w:semiHidden/>
    <w:unhideWhenUsed/>
    <w:rsid w:val="0041242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98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9434">
      <w:bodyDiv w:val="1"/>
      <w:marLeft w:val="0"/>
      <w:marRight w:val="0"/>
      <w:marTop w:val="0"/>
      <w:marBottom w:val="0"/>
      <w:divBdr>
        <w:top w:val="none" w:sz="0" w:space="0" w:color="auto"/>
        <w:left w:val="none" w:sz="0" w:space="0" w:color="auto"/>
        <w:bottom w:val="none" w:sz="0" w:space="0" w:color="auto"/>
        <w:right w:val="none" w:sz="0" w:space="0" w:color="auto"/>
      </w:divBdr>
      <w:divsChild>
        <w:div w:id="947200020">
          <w:marLeft w:val="907"/>
          <w:marRight w:val="0"/>
          <w:marTop w:val="120"/>
          <w:marBottom w:val="0"/>
          <w:divBdr>
            <w:top w:val="none" w:sz="0" w:space="0" w:color="auto"/>
            <w:left w:val="none" w:sz="0" w:space="0" w:color="auto"/>
            <w:bottom w:val="none" w:sz="0" w:space="0" w:color="auto"/>
            <w:right w:val="none" w:sz="0" w:space="0" w:color="auto"/>
          </w:divBdr>
        </w:div>
        <w:div w:id="304047960">
          <w:marLeft w:val="907"/>
          <w:marRight w:val="0"/>
          <w:marTop w:val="120"/>
          <w:marBottom w:val="0"/>
          <w:divBdr>
            <w:top w:val="none" w:sz="0" w:space="0" w:color="auto"/>
            <w:left w:val="none" w:sz="0" w:space="0" w:color="auto"/>
            <w:bottom w:val="none" w:sz="0" w:space="0" w:color="auto"/>
            <w:right w:val="none" w:sz="0" w:space="0" w:color="auto"/>
          </w:divBdr>
        </w:div>
        <w:div w:id="1275482266">
          <w:marLeft w:val="907"/>
          <w:marRight w:val="0"/>
          <w:marTop w:val="120"/>
          <w:marBottom w:val="0"/>
          <w:divBdr>
            <w:top w:val="none" w:sz="0" w:space="0" w:color="auto"/>
            <w:left w:val="none" w:sz="0" w:space="0" w:color="auto"/>
            <w:bottom w:val="none" w:sz="0" w:space="0" w:color="auto"/>
            <w:right w:val="none" w:sz="0" w:space="0" w:color="auto"/>
          </w:divBdr>
        </w:div>
        <w:div w:id="1780445821">
          <w:marLeft w:val="907"/>
          <w:marRight w:val="0"/>
          <w:marTop w:val="120"/>
          <w:marBottom w:val="0"/>
          <w:divBdr>
            <w:top w:val="none" w:sz="0" w:space="0" w:color="auto"/>
            <w:left w:val="none" w:sz="0" w:space="0" w:color="auto"/>
            <w:bottom w:val="none" w:sz="0" w:space="0" w:color="auto"/>
            <w:right w:val="none" w:sz="0" w:space="0" w:color="auto"/>
          </w:divBdr>
        </w:div>
        <w:div w:id="622735652">
          <w:marLeft w:val="634"/>
          <w:marRight w:val="0"/>
          <w:marTop w:val="120"/>
          <w:marBottom w:val="0"/>
          <w:divBdr>
            <w:top w:val="none" w:sz="0" w:space="0" w:color="auto"/>
            <w:left w:val="none" w:sz="0" w:space="0" w:color="auto"/>
            <w:bottom w:val="none" w:sz="0" w:space="0" w:color="auto"/>
            <w:right w:val="none" w:sz="0" w:space="0" w:color="auto"/>
          </w:divBdr>
        </w:div>
        <w:div w:id="1843740109">
          <w:marLeft w:val="634"/>
          <w:marRight w:val="0"/>
          <w:marTop w:val="120"/>
          <w:marBottom w:val="0"/>
          <w:divBdr>
            <w:top w:val="none" w:sz="0" w:space="0" w:color="auto"/>
            <w:left w:val="none" w:sz="0" w:space="0" w:color="auto"/>
            <w:bottom w:val="none" w:sz="0" w:space="0" w:color="auto"/>
            <w:right w:val="none" w:sz="0" w:space="0" w:color="auto"/>
          </w:divBdr>
        </w:div>
        <w:div w:id="1151558862">
          <w:marLeft w:val="634"/>
          <w:marRight w:val="0"/>
          <w:marTop w:val="120"/>
          <w:marBottom w:val="0"/>
          <w:divBdr>
            <w:top w:val="none" w:sz="0" w:space="0" w:color="auto"/>
            <w:left w:val="none" w:sz="0" w:space="0" w:color="auto"/>
            <w:bottom w:val="none" w:sz="0" w:space="0" w:color="auto"/>
            <w:right w:val="none" w:sz="0" w:space="0" w:color="auto"/>
          </w:divBdr>
        </w:div>
        <w:div w:id="2510859">
          <w:marLeft w:val="547"/>
          <w:marRight w:val="0"/>
          <w:marTop w:val="106"/>
          <w:marBottom w:val="0"/>
          <w:divBdr>
            <w:top w:val="none" w:sz="0" w:space="0" w:color="auto"/>
            <w:left w:val="none" w:sz="0" w:space="0" w:color="auto"/>
            <w:bottom w:val="none" w:sz="0" w:space="0" w:color="auto"/>
            <w:right w:val="none" w:sz="0" w:space="0" w:color="auto"/>
          </w:divBdr>
        </w:div>
        <w:div w:id="2083865828">
          <w:marLeft w:val="1166"/>
          <w:marRight w:val="0"/>
          <w:marTop w:val="106"/>
          <w:marBottom w:val="0"/>
          <w:divBdr>
            <w:top w:val="none" w:sz="0" w:space="0" w:color="auto"/>
            <w:left w:val="none" w:sz="0" w:space="0" w:color="auto"/>
            <w:bottom w:val="none" w:sz="0" w:space="0" w:color="auto"/>
            <w:right w:val="none" w:sz="0" w:space="0" w:color="auto"/>
          </w:divBdr>
        </w:div>
      </w:divsChild>
    </w:div>
    <w:div w:id="952830020">
      <w:bodyDiv w:val="1"/>
      <w:marLeft w:val="0"/>
      <w:marRight w:val="0"/>
      <w:marTop w:val="0"/>
      <w:marBottom w:val="0"/>
      <w:divBdr>
        <w:top w:val="none" w:sz="0" w:space="0" w:color="auto"/>
        <w:left w:val="none" w:sz="0" w:space="0" w:color="auto"/>
        <w:bottom w:val="none" w:sz="0" w:space="0" w:color="auto"/>
        <w:right w:val="none" w:sz="0" w:space="0" w:color="auto"/>
      </w:divBdr>
    </w:div>
    <w:div w:id="1327826566">
      <w:bodyDiv w:val="1"/>
      <w:marLeft w:val="0"/>
      <w:marRight w:val="0"/>
      <w:marTop w:val="0"/>
      <w:marBottom w:val="0"/>
      <w:divBdr>
        <w:top w:val="none" w:sz="0" w:space="0" w:color="auto"/>
        <w:left w:val="none" w:sz="0" w:space="0" w:color="auto"/>
        <w:bottom w:val="none" w:sz="0" w:space="0" w:color="auto"/>
        <w:right w:val="none" w:sz="0" w:space="0" w:color="auto"/>
      </w:divBdr>
    </w:div>
    <w:div w:id="1409644962">
      <w:bodyDiv w:val="1"/>
      <w:marLeft w:val="0"/>
      <w:marRight w:val="0"/>
      <w:marTop w:val="0"/>
      <w:marBottom w:val="0"/>
      <w:divBdr>
        <w:top w:val="none" w:sz="0" w:space="0" w:color="auto"/>
        <w:left w:val="none" w:sz="0" w:space="0" w:color="auto"/>
        <w:bottom w:val="none" w:sz="0" w:space="0" w:color="auto"/>
        <w:right w:val="none" w:sz="0" w:space="0" w:color="auto"/>
      </w:divBdr>
    </w:div>
    <w:div w:id="1545678241">
      <w:bodyDiv w:val="1"/>
      <w:marLeft w:val="0"/>
      <w:marRight w:val="0"/>
      <w:marTop w:val="0"/>
      <w:marBottom w:val="0"/>
      <w:divBdr>
        <w:top w:val="none" w:sz="0" w:space="0" w:color="auto"/>
        <w:left w:val="none" w:sz="0" w:space="0" w:color="auto"/>
        <w:bottom w:val="none" w:sz="0" w:space="0" w:color="auto"/>
        <w:right w:val="none" w:sz="0" w:space="0" w:color="auto"/>
      </w:divBdr>
    </w:div>
    <w:div w:id="17986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bank.info/collection/country/jordan" TargetMode="External"/><Relationship Id="rId3" Type="http://schemas.openxmlformats.org/officeDocument/2006/relationships/settings" Target="settings.xml"/><Relationship Id="rId7" Type="http://schemas.openxmlformats.org/officeDocument/2006/relationships/hyperlink" Target="mailto:alfarh@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saeedk</dc:creator>
  <cp:lastModifiedBy>EISENSTADT, Kevin</cp:lastModifiedBy>
  <cp:revision>17</cp:revision>
  <dcterms:created xsi:type="dcterms:W3CDTF">2022-11-01T13:47:00Z</dcterms:created>
  <dcterms:modified xsi:type="dcterms:W3CDTF">2023-02-21T14:10:00Z</dcterms:modified>
</cp:coreProperties>
</file>