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2CFB" w14:textId="46B46386" w:rsidR="004300F4" w:rsidRPr="00D902BB" w:rsidRDefault="004300F4" w:rsidP="008B361C">
      <w:pPr>
        <w:pStyle w:val="Heading1"/>
        <w:pBdr>
          <w:bottom w:val="single" w:sz="4" w:space="1" w:color="auto"/>
        </w:pBdr>
        <w:spacing w:before="0"/>
        <w:jc w:val="center"/>
        <w:rPr>
          <w:lang w:val="en-GB"/>
        </w:rPr>
      </w:pPr>
      <w:r w:rsidRPr="00D902BB">
        <w:rPr>
          <w:lang w:val="en-GB"/>
        </w:rPr>
        <w:t>Case study</w:t>
      </w:r>
      <w:r w:rsidR="003849A7">
        <w:rPr>
          <w:lang w:val="en-GB"/>
        </w:rPr>
        <w:t>: Lebanon</w:t>
      </w:r>
    </w:p>
    <w:p w14:paraId="415D5640" w14:textId="77777777" w:rsidR="004300F4" w:rsidRPr="00D902BB" w:rsidRDefault="004300F4" w:rsidP="004300F4">
      <w:pPr>
        <w:rPr>
          <w:lang w:val="en-GB"/>
        </w:rPr>
      </w:pPr>
    </w:p>
    <w:tbl>
      <w:tblPr>
        <w:tblStyle w:val="MediumShading1-Accent11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4300F4" w:rsidRPr="00D902BB" w14:paraId="2BFA7492" w14:textId="77777777" w:rsidTr="003F4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34C2B083" w14:textId="77777777" w:rsidR="004300F4" w:rsidRPr="00D902BB" w:rsidRDefault="008B361C" w:rsidP="00BB0D7C">
            <w:pPr>
              <w:spacing w:beforeLines="40" w:before="96" w:afterLines="40" w:after="96"/>
              <w:rPr>
                <w:lang w:val="en-GB"/>
              </w:rPr>
            </w:pPr>
            <w:r w:rsidRPr="00D902BB">
              <w:rPr>
                <w:lang w:val="en-GB"/>
              </w:rPr>
              <w:t xml:space="preserve">Title of the case study </w:t>
            </w:r>
          </w:p>
        </w:tc>
      </w:tr>
      <w:tr w:rsidR="004300F4" w:rsidRPr="00D902BB" w14:paraId="196392E8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256DCDB" w14:textId="77777777" w:rsidR="004300F4" w:rsidRPr="00D902BB" w:rsidRDefault="004300F4" w:rsidP="00BB0D7C">
            <w:pPr>
              <w:spacing w:beforeLines="40" w:before="96" w:afterLines="40" w:after="96"/>
              <w:rPr>
                <w:color w:val="1F497D" w:themeColor="text2"/>
                <w:sz w:val="20"/>
                <w:szCs w:val="20"/>
                <w:lang w:val="en-GB"/>
              </w:rPr>
            </w:pPr>
            <w:r w:rsidRPr="00D902BB">
              <w:rPr>
                <w:b w:val="0"/>
                <w:color w:val="1F497D" w:themeColor="text2"/>
                <w:sz w:val="20"/>
                <w:szCs w:val="20"/>
                <w:lang w:val="en-GB"/>
              </w:rPr>
              <w:t>Name and email of person completing the form</w:t>
            </w:r>
          </w:p>
        </w:tc>
      </w:tr>
      <w:tr w:rsidR="004300F4" w:rsidRPr="00D902BB" w14:paraId="0E9A78D6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1C077D7D" w14:textId="47D849B1" w:rsidR="00033C97" w:rsidRPr="00B608AD" w:rsidRDefault="0000318A" w:rsidP="0087466C">
            <w:pPr>
              <w:spacing w:beforeLines="40" w:before="96" w:afterLines="40" w:after="96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B608AD">
              <w:rPr>
                <w:b w:val="0"/>
                <w:bCs w:val="0"/>
                <w:sz w:val="20"/>
                <w:szCs w:val="20"/>
                <w:lang w:val="en-GB"/>
              </w:rPr>
              <w:t>Wissam Kheir</w:t>
            </w:r>
            <w:r w:rsidR="008F6257" w:rsidRPr="00B608AD">
              <w:rPr>
                <w:b w:val="0"/>
                <w:bCs w:val="0"/>
                <w:sz w:val="20"/>
                <w:szCs w:val="20"/>
                <w:lang w:val="en-GB"/>
              </w:rPr>
              <w:t>,</w:t>
            </w:r>
            <w:r w:rsidRPr="00B608AD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8F6257" w:rsidRPr="00B608AD">
              <w:rPr>
                <w:b w:val="0"/>
                <w:bCs w:val="0"/>
                <w:sz w:val="20"/>
                <w:szCs w:val="20"/>
                <w:lang w:val="en-GB"/>
              </w:rPr>
              <w:t>Ministry of Public Health</w:t>
            </w:r>
            <w:r w:rsidRPr="00B608AD">
              <w:rPr>
                <w:b w:val="0"/>
                <w:bCs w:val="0"/>
                <w:sz w:val="20"/>
                <w:szCs w:val="20"/>
                <w:lang w:val="en-GB"/>
              </w:rPr>
              <w:t xml:space="preserve"> (</w:t>
            </w:r>
            <w:hyperlink r:id="rId8" w:history="1">
              <w:r w:rsidRPr="00B608AD">
                <w:rPr>
                  <w:rStyle w:val="Hyperlink"/>
                  <w:b w:val="0"/>
                  <w:bCs w:val="0"/>
                  <w:sz w:val="20"/>
                  <w:szCs w:val="20"/>
                  <w:lang w:val="en-GB"/>
                </w:rPr>
                <w:t>wissamkheir@hotmail.com</w:t>
              </w:r>
            </w:hyperlink>
            <w:r w:rsidRPr="00B608AD">
              <w:rPr>
                <w:b w:val="0"/>
                <w:bCs w:val="0"/>
                <w:sz w:val="20"/>
                <w:szCs w:val="20"/>
                <w:lang w:val="en-GB"/>
              </w:rPr>
              <w:t xml:space="preserve">) </w:t>
            </w:r>
          </w:p>
          <w:p w14:paraId="6665E885" w14:textId="44DCF1D1" w:rsidR="0000318A" w:rsidRPr="00B608AD" w:rsidRDefault="0000318A" w:rsidP="0087466C">
            <w:pPr>
              <w:spacing w:beforeLines="40" w:before="96" w:afterLines="40" w:after="96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B608AD">
              <w:rPr>
                <w:b w:val="0"/>
                <w:bCs w:val="0"/>
                <w:sz w:val="20"/>
                <w:szCs w:val="20"/>
                <w:lang w:val="en-GB"/>
              </w:rPr>
              <w:t>Ghada Abou Mrad</w:t>
            </w:r>
            <w:r w:rsidR="008F6257" w:rsidRPr="00B608AD">
              <w:rPr>
                <w:b w:val="0"/>
                <w:bCs w:val="0"/>
                <w:sz w:val="20"/>
                <w:szCs w:val="20"/>
                <w:lang w:val="en-GB"/>
              </w:rPr>
              <w:t>, Ministry of Public Health</w:t>
            </w:r>
            <w:r w:rsidRPr="00B608AD">
              <w:rPr>
                <w:b w:val="0"/>
                <w:bCs w:val="0"/>
                <w:sz w:val="20"/>
                <w:szCs w:val="20"/>
                <w:lang w:val="en-GB"/>
              </w:rPr>
              <w:t xml:space="preserve"> (</w:t>
            </w:r>
            <w:hyperlink r:id="rId9" w:tgtFrame="_blank" w:history="1">
              <w:r w:rsidRPr="00B608AD">
                <w:rPr>
                  <w:rStyle w:val="Hyperlink"/>
                  <w:b w:val="0"/>
                  <w:bCs w:val="0"/>
                  <w:sz w:val="20"/>
                  <w:szCs w:val="20"/>
                  <w:lang w:val="en-GB"/>
                </w:rPr>
                <w:t>mdghada@gmail.com</w:t>
              </w:r>
            </w:hyperlink>
            <w:r w:rsidRPr="00B608AD">
              <w:rPr>
                <w:b w:val="0"/>
                <w:bCs w:val="0"/>
                <w:lang w:val="en-GB"/>
              </w:rPr>
              <w:t xml:space="preserve">) </w:t>
            </w:r>
          </w:p>
          <w:p w14:paraId="6E96146C" w14:textId="09E3867D" w:rsidR="0000318A" w:rsidRPr="00D902BB" w:rsidRDefault="0000318A" w:rsidP="0087466C">
            <w:pPr>
              <w:spacing w:beforeLines="40" w:before="96" w:afterLines="40" w:after="96"/>
              <w:rPr>
                <w:sz w:val="20"/>
                <w:szCs w:val="20"/>
                <w:lang w:val="en-GB"/>
              </w:rPr>
            </w:pPr>
            <w:r w:rsidRPr="00B608AD">
              <w:rPr>
                <w:b w:val="0"/>
                <w:bCs w:val="0"/>
                <w:sz w:val="20"/>
                <w:szCs w:val="20"/>
                <w:lang w:val="en-GB"/>
              </w:rPr>
              <w:t>Edwina Zoghbi</w:t>
            </w:r>
            <w:r w:rsidR="00565468" w:rsidRPr="00B608AD">
              <w:rPr>
                <w:b w:val="0"/>
                <w:bCs w:val="0"/>
                <w:sz w:val="20"/>
                <w:szCs w:val="20"/>
                <w:lang w:val="en-GB"/>
              </w:rPr>
              <w:t>,</w:t>
            </w:r>
            <w:r w:rsidRPr="00B608AD">
              <w:rPr>
                <w:b w:val="0"/>
                <w:bCs w:val="0"/>
                <w:sz w:val="20"/>
                <w:szCs w:val="20"/>
                <w:lang w:val="en-GB"/>
              </w:rPr>
              <w:t xml:space="preserve"> WHO (</w:t>
            </w:r>
            <w:hyperlink r:id="rId10" w:history="1">
              <w:r w:rsidRPr="00B608AD">
                <w:rPr>
                  <w:rStyle w:val="Hyperlink"/>
                  <w:b w:val="0"/>
                  <w:bCs w:val="0"/>
                  <w:sz w:val="20"/>
                  <w:szCs w:val="20"/>
                  <w:lang w:val="en-GB"/>
                </w:rPr>
                <w:t>zoghbie@who.int</w:t>
              </w:r>
            </w:hyperlink>
            <w:r w:rsidRPr="00B608AD">
              <w:rPr>
                <w:b w:val="0"/>
                <w:bCs w:val="0"/>
                <w:sz w:val="20"/>
                <w:szCs w:val="20"/>
                <w:lang w:val="en-GB"/>
              </w:rPr>
              <w:t>)</w:t>
            </w:r>
            <w:r w:rsidRPr="00D902BB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21D9C" w:rsidRPr="00D902BB" w14:paraId="28B387D0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571A581F" w14:textId="77777777" w:rsidR="00921D9C" w:rsidRPr="00D902BB" w:rsidRDefault="00921D9C" w:rsidP="008B361C">
            <w:pPr>
              <w:spacing w:beforeLines="40" w:before="96" w:afterLines="40" w:after="96"/>
              <w:rPr>
                <w:color w:val="1F497D" w:themeColor="text2"/>
                <w:sz w:val="20"/>
                <w:szCs w:val="20"/>
                <w:lang w:val="en-GB"/>
              </w:rPr>
            </w:pPr>
            <w:r w:rsidRPr="00D902BB">
              <w:rPr>
                <w:b w:val="0"/>
                <w:color w:val="1F497D" w:themeColor="text2"/>
                <w:sz w:val="20"/>
                <w:szCs w:val="20"/>
                <w:lang w:val="en-GB"/>
              </w:rPr>
              <w:t xml:space="preserve">Contact details </w:t>
            </w:r>
            <w:r w:rsidR="008B361C" w:rsidRPr="00D902BB">
              <w:rPr>
                <w:b w:val="0"/>
                <w:color w:val="1F497D" w:themeColor="text2"/>
                <w:sz w:val="20"/>
                <w:szCs w:val="20"/>
                <w:lang w:val="en-GB"/>
              </w:rPr>
              <w:t>for more information about the case study</w:t>
            </w:r>
          </w:p>
        </w:tc>
      </w:tr>
      <w:tr w:rsidR="00921D9C" w:rsidRPr="00D902BB" w14:paraId="37677FE8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0A6DF548" w14:textId="4995771B" w:rsidR="00921D9C" w:rsidRPr="00B608AD" w:rsidRDefault="0087466C" w:rsidP="00BB0D7C">
            <w:pPr>
              <w:spacing w:beforeLines="40" w:before="96" w:afterLines="40" w:after="96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B608AD">
              <w:rPr>
                <w:b w:val="0"/>
                <w:bCs w:val="0"/>
                <w:sz w:val="20"/>
                <w:szCs w:val="20"/>
                <w:lang w:val="en-GB"/>
              </w:rPr>
              <w:t>Wissam Kheir</w:t>
            </w:r>
            <w:r w:rsidR="00356348" w:rsidRPr="00B608AD">
              <w:rPr>
                <w:b w:val="0"/>
                <w:bCs w:val="0"/>
                <w:sz w:val="20"/>
                <w:szCs w:val="20"/>
                <w:lang w:val="en-GB"/>
              </w:rPr>
              <w:t>,</w:t>
            </w:r>
            <w:r w:rsidRPr="00B608AD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5B7303" w:rsidRPr="00B608AD">
              <w:rPr>
                <w:b w:val="0"/>
                <w:bCs w:val="0"/>
                <w:sz w:val="20"/>
                <w:szCs w:val="20"/>
                <w:lang w:val="en-GB"/>
              </w:rPr>
              <w:t xml:space="preserve">Mental </w:t>
            </w:r>
            <w:r w:rsidR="00565468" w:rsidRPr="00B608AD">
              <w:rPr>
                <w:b w:val="0"/>
                <w:bCs w:val="0"/>
                <w:sz w:val="20"/>
                <w:szCs w:val="20"/>
                <w:lang w:val="en-GB"/>
              </w:rPr>
              <w:t>H</w:t>
            </w:r>
            <w:r w:rsidR="005B7303" w:rsidRPr="00B608AD">
              <w:rPr>
                <w:b w:val="0"/>
                <w:bCs w:val="0"/>
                <w:sz w:val="20"/>
                <w:szCs w:val="20"/>
                <w:lang w:val="en-GB"/>
              </w:rPr>
              <w:t xml:space="preserve">ealth and </w:t>
            </w:r>
            <w:r w:rsidR="00565468" w:rsidRPr="00B608AD">
              <w:rPr>
                <w:b w:val="0"/>
                <w:bCs w:val="0"/>
                <w:sz w:val="20"/>
                <w:szCs w:val="20"/>
                <w:lang w:val="en-GB"/>
              </w:rPr>
              <w:t>P</w:t>
            </w:r>
            <w:r w:rsidR="005B7303" w:rsidRPr="00B608AD">
              <w:rPr>
                <w:b w:val="0"/>
                <w:bCs w:val="0"/>
                <w:sz w:val="20"/>
                <w:szCs w:val="20"/>
                <w:lang w:val="en-GB"/>
              </w:rPr>
              <w:t xml:space="preserve">sychosocial </w:t>
            </w:r>
            <w:r w:rsidR="00565468" w:rsidRPr="00B608AD">
              <w:rPr>
                <w:b w:val="0"/>
                <w:bCs w:val="0"/>
                <w:sz w:val="20"/>
                <w:szCs w:val="20"/>
                <w:lang w:val="en-GB"/>
              </w:rPr>
              <w:t>S</w:t>
            </w:r>
            <w:r w:rsidR="005B7303" w:rsidRPr="00B608AD">
              <w:rPr>
                <w:b w:val="0"/>
                <w:bCs w:val="0"/>
                <w:sz w:val="20"/>
                <w:szCs w:val="20"/>
                <w:lang w:val="en-GB"/>
              </w:rPr>
              <w:t xml:space="preserve">upport </w:t>
            </w:r>
            <w:r w:rsidR="00565468" w:rsidRPr="00B608AD">
              <w:rPr>
                <w:b w:val="0"/>
                <w:bCs w:val="0"/>
                <w:sz w:val="20"/>
                <w:szCs w:val="20"/>
                <w:lang w:val="en-GB"/>
              </w:rPr>
              <w:t>T</w:t>
            </w:r>
            <w:r w:rsidR="005B7303" w:rsidRPr="00B608AD">
              <w:rPr>
                <w:b w:val="0"/>
                <w:bCs w:val="0"/>
                <w:sz w:val="20"/>
                <w:szCs w:val="20"/>
                <w:lang w:val="en-GB"/>
              </w:rPr>
              <w:t xml:space="preserve">echnical </w:t>
            </w:r>
            <w:r w:rsidR="00565468" w:rsidRPr="00B608AD">
              <w:rPr>
                <w:b w:val="0"/>
                <w:bCs w:val="0"/>
                <w:sz w:val="20"/>
                <w:szCs w:val="20"/>
                <w:lang w:val="en-GB"/>
              </w:rPr>
              <w:t>C</w:t>
            </w:r>
            <w:r w:rsidR="005B7303" w:rsidRPr="00B608AD">
              <w:rPr>
                <w:b w:val="0"/>
                <w:bCs w:val="0"/>
                <w:sz w:val="20"/>
                <w:szCs w:val="20"/>
                <w:lang w:val="en-GB"/>
              </w:rPr>
              <w:t>oordinator</w:t>
            </w:r>
            <w:r w:rsidR="00356348" w:rsidRPr="00B608AD">
              <w:rPr>
                <w:b w:val="0"/>
                <w:bCs w:val="0"/>
                <w:sz w:val="20"/>
                <w:szCs w:val="20"/>
                <w:lang w:val="en-GB"/>
              </w:rPr>
              <w:t>,</w:t>
            </w:r>
            <w:r w:rsidR="005B7303" w:rsidRPr="00B608AD">
              <w:rPr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8F6257" w:rsidRPr="00B608AD">
              <w:rPr>
                <w:b w:val="0"/>
                <w:bCs w:val="0"/>
                <w:sz w:val="20"/>
                <w:szCs w:val="20"/>
                <w:lang w:val="en-GB"/>
              </w:rPr>
              <w:t>Ministry of Public Health</w:t>
            </w:r>
            <w:r w:rsidR="000C7707" w:rsidRPr="00B608AD">
              <w:rPr>
                <w:b w:val="0"/>
                <w:bCs w:val="0"/>
                <w:sz w:val="20"/>
                <w:szCs w:val="20"/>
                <w:lang w:val="en-GB"/>
              </w:rPr>
              <w:t>,</w:t>
            </w:r>
            <w:r w:rsidR="005B7303" w:rsidRPr="00B608AD">
              <w:rPr>
                <w:b w:val="0"/>
                <w:bCs w:val="0"/>
                <w:sz w:val="20"/>
                <w:szCs w:val="20"/>
                <w:lang w:val="en-GB"/>
              </w:rPr>
              <w:t xml:space="preserve"> Lebanon </w:t>
            </w:r>
          </w:p>
        </w:tc>
      </w:tr>
      <w:tr w:rsidR="004300F4" w:rsidRPr="00D902BB" w14:paraId="361F9C36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4F81BD" w:themeFill="accent1"/>
          </w:tcPr>
          <w:p w14:paraId="18A2BC54" w14:textId="77777777" w:rsidR="004300F4" w:rsidRPr="00D902BB" w:rsidRDefault="004300F4" w:rsidP="008B361C">
            <w:pPr>
              <w:spacing w:beforeLines="40" w:before="96" w:afterLines="40" w:after="96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D902BB">
              <w:rPr>
                <w:color w:val="FFFFFF" w:themeColor="background1"/>
                <w:sz w:val="20"/>
                <w:szCs w:val="20"/>
                <w:lang w:val="en-GB"/>
              </w:rPr>
              <w:t xml:space="preserve">DESCRIPTION </w:t>
            </w:r>
          </w:p>
        </w:tc>
      </w:tr>
      <w:tr w:rsidR="004300F4" w:rsidRPr="00D902BB" w14:paraId="500F81D0" w14:textId="77777777" w:rsidTr="00D876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BE5F1" w:themeFill="accent1" w:themeFillTint="33"/>
          </w:tcPr>
          <w:p w14:paraId="75B89835" w14:textId="26DC48EB" w:rsidR="00EE50C1" w:rsidRPr="00D902BB" w:rsidRDefault="002C5E8B" w:rsidP="009E1CC2">
            <w:pPr>
              <w:tabs>
                <w:tab w:val="num" w:pos="720"/>
              </w:tabs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>Briefly describe the</w:t>
            </w:r>
            <w:r w:rsidR="00412424" w:rsidRPr="00D902BB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 xml:space="preserve"> organization of </w:t>
            </w:r>
            <w:r w:rsidR="006B727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>the h</w:t>
            </w:r>
            <w:r w:rsidR="00412424" w:rsidRPr="00D902BB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>ealth system in your country: Governance</w:t>
            </w:r>
            <w:r w:rsidR="006B727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 xml:space="preserve"> </w:t>
            </w:r>
            <w:r w:rsidR="006B7276" w:rsidRPr="00D902BB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 xml:space="preserve">mechanisms/structures </w:t>
            </w:r>
            <w:r w:rsidR="00412424" w:rsidRPr="00D902BB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>(</w:t>
            </w:r>
            <w:r w:rsidR="006B727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>h</w:t>
            </w:r>
            <w:r w:rsidR="00412424" w:rsidRPr="00D902BB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>ealth policies/strategies/plans, legislation</w:t>
            </w:r>
            <w:r w:rsidR="006B727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>,</w:t>
            </w:r>
            <w:r w:rsidR="00412424" w:rsidRPr="00D902BB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 xml:space="preserve"> etc</w:t>
            </w:r>
            <w:r w:rsidR="006F45DD" w:rsidRPr="00D902BB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>.</w:t>
            </w:r>
            <w:r w:rsidR="00412424" w:rsidRPr="00D902BB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 xml:space="preserve">), </w:t>
            </w:r>
            <w:r w:rsidR="006B7276" w:rsidRPr="00D902BB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>financing mechanisms, human resources (their density,</w:t>
            </w:r>
            <w:r w:rsidR="006B727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 xml:space="preserve"> </w:t>
            </w:r>
            <w:r w:rsidR="006B7276" w:rsidRPr="00D902BB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>distribution) availability of service delivery packages (what are the preventive, curative and rehabilitative/palliative services included in the package),</w:t>
            </w:r>
            <w:r w:rsidR="006B727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 xml:space="preserve"> </w:t>
            </w:r>
            <w:r w:rsidR="006B7276" w:rsidRPr="00D902BB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>information system organization (core set of indicators, standard collection, collation, analysis and reporting mechanisms</w:t>
            </w:r>
            <w:r w:rsidR="00412424" w:rsidRPr="00D902BB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lang w:val="en-GB" w:eastAsia="en-GB"/>
              </w:rPr>
              <w:t>)</w:t>
            </w:r>
          </w:p>
          <w:p w14:paraId="45B42C3B" w14:textId="348EEEA4" w:rsidR="00F065A7" w:rsidRPr="00D902BB" w:rsidRDefault="00033C97" w:rsidP="00033C97">
            <w:pPr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The health system in Lebanon is characterized by a dominant private sector, a</w:t>
            </w:r>
            <w:r w:rsidR="00FF1EFB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n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active </w:t>
            </w:r>
            <w:r w:rsidR="002E3E71">
              <w:rPr>
                <w:rFonts w:ascii="Calibri" w:eastAsia="Times New Roman" w:hAnsi="Calibri" w:cs="Calibri"/>
                <w:b w:val="0"/>
                <w:lang w:val="en-GB" w:eastAsia="en-GB"/>
              </w:rPr>
              <w:t>nongovernmental organization (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NGO</w:t>
            </w:r>
            <w:r w:rsidR="002E3E71">
              <w:rPr>
                <w:rFonts w:ascii="Calibri" w:eastAsia="Times New Roman" w:hAnsi="Calibri" w:cs="Calibri"/>
                <w:b w:val="0"/>
                <w:lang w:val="en-GB" w:eastAsia="en-GB"/>
              </w:rPr>
              <w:t>)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sector and a public sector progressively regaining its </w:t>
            </w:r>
            <w:r w:rsidR="00FF1EFB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governance 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and regulatory role over the past two decades. </w:t>
            </w:r>
          </w:p>
          <w:p w14:paraId="2C119A64" w14:textId="352C8A7A" w:rsidR="00F065A7" w:rsidRPr="00D902BB" w:rsidRDefault="00F065A7" w:rsidP="00033C97">
            <w:pPr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The </w:t>
            </w:r>
            <w:r w:rsidR="006B7276" w:rsidRPr="006B7276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Ministry of Public Health 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has a health strategy in place that considers mental health as part of health. In addition, the </w:t>
            </w:r>
            <w:r w:rsidR="006B7276" w:rsidRPr="006B7276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Ministry of Public Health 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has developed and launched the National Mental Health Strategy for Lebanon (2015</w:t>
            </w:r>
            <w:r w:rsidR="00E830D2">
              <w:rPr>
                <w:rFonts w:ascii="Calibri" w:eastAsia="Times New Roman" w:hAnsi="Calibri" w:cs="Calibri"/>
                <w:b w:val="0"/>
                <w:lang w:val="en-GB" w:eastAsia="en-GB"/>
              </w:rPr>
              <w:sym w:font="Symbol" w:char="F02D"/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2020) with the aim of reforming the mental health system in Lebanon and focusing on integrating mental health into general health</w:t>
            </w:r>
            <w:r w:rsidR="00F56FA4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care services. </w:t>
            </w:r>
          </w:p>
          <w:p w14:paraId="3A5CC8B1" w14:textId="2481E25C" w:rsidR="00033C97" w:rsidRPr="00D902BB" w:rsidRDefault="00737D71" w:rsidP="000E36C7">
            <w:pPr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In terms of legislation, the mental health law dating from 1983 has been revised and is currently under di</w:t>
            </w:r>
            <w:r w:rsidR="00C77EB6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scussion within the parliament.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</w:t>
            </w:r>
            <w:r w:rsidR="00C124F8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The draft law emphasizes the human rights of persons with mental health disorders and increases </w:t>
            </w:r>
            <w:r w:rsidR="00C77EB6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their </w:t>
            </w:r>
            <w:r w:rsidR="00C124F8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access to comprehensive quality evidence-based mental health</w:t>
            </w:r>
            <w:r w:rsidR="008C1256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</w:t>
            </w:r>
            <w:r w:rsidR="00C124F8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care. </w:t>
            </w:r>
          </w:p>
          <w:p w14:paraId="148C0A64" w14:textId="0C1B0833" w:rsidR="00033C97" w:rsidRPr="00D902BB" w:rsidRDefault="00033C97" w:rsidP="003A5BCE">
            <w:pPr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Out o</w:t>
            </w:r>
            <w:r w:rsidR="005E02D4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f the 1011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</w:t>
            </w:r>
            <w:r w:rsidR="00CF3FDC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centres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(</w:t>
            </w:r>
            <w:r w:rsidR="00E830D2">
              <w:rPr>
                <w:rFonts w:ascii="Calibri" w:eastAsia="Times New Roman" w:hAnsi="Calibri" w:cs="Calibri"/>
                <w:b w:val="0"/>
                <w:lang w:val="en-GB" w:eastAsia="en-GB"/>
              </w:rPr>
              <w:t>PHC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</w:t>
            </w:r>
            <w:r w:rsidR="00CF3FDC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centres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and dispensaries) managed either by </w:t>
            </w:r>
            <w:r w:rsidR="00F43DE2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the Ministry of Public Health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, Ministry of Social Affairs, municipalities or NGOs, </w:t>
            </w:r>
            <w:r w:rsidR="005E02D4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20</w:t>
            </w:r>
            <w:r w:rsidR="003A5BCE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7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PHC </w:t>
            </w:r>
            <w:r w:rsidR="00CF3FDC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centres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are affiliated with the </w:t>
            </w:r>
            <w:r w:rsidR="006B7276" w:rsidRPr="006B7276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Ministry of Public Health 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PHC network, providing various packages of ambulatory health services</w:t>
            </w:r>
            <w:r w:rsidR="00EF0E96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(namely reproductive health, vaccination</w:t>
            </w:r>
            <w:r w:rsidR="00680123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,</w:t>
            </w:r>
            <w:r w:rsidR="00EF0E96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etc.)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.</w:t>
            </w:r>
          </w:p>
          <w:p w14:paraId="5B775ADE" w14:textId="594A0835" w:rsidR="00986620" w:rsidRPr="00D902BB" w:rsidRDefault="00033C97" w:rsidP="00986620">
            <w:pPr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With a tota</w:t>
            </w:r>
            <w:r w:rsidR="00DA60A2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l of 172 private hospitals offering around 10</w:t>
            </w:r>
            <w:r w:rsidR="008C1256">
              <w:rPr>
                <w:rFonts w:ascii="Calibri" w:eastAsia="Times New Roman" w:hAnsi="Calibri" w:cs="Calibri"/>
                <w:b w:val="0"/>
                <w:lang w:val="en-GB" w:eastAsia="en-GB"/>
              </w:rPr>
              <w:t> </w:t>
            </w:r>
            <w:r w:rsidR="00DA60A2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200 beds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, there is an oversupply of private beds in comparison to a recovering public hospital sector accounting for 28 public hospitals </w:t>
            </w:r>
            <w:r w:rsidR="00DA60A2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which offer about 1700 beds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. The health system is also characterized by a surplus of medical doctors and a shortage in nurses and paramedical staff, with the following estimates</w:t>
            </w:r>
            <w:r w:rsidR="008C1256">
              <w:rPr>
                <w:rFonts w:ascii="Calibri" w:eastAsia="Times New Roman" w:hAnsi="Calibri" w:cs="Calibri"/>
                <w:b w:val="0"/>
                <w:lang w:val="en-GB" w:eastAsia="en-GB"/>
              </w:rPr>
              <w:t>: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physicians: 320/100</w:t>
            </w:r>
            <w:r w:rsidR="002E3E71">
              <w:rPr>
                <w:rFonts w:ascii="Calibri" w:eastAsia="Times New Roman" w:hAnsi="Calibri" w:cs="Calibri"/>
                <w:b w:val="0"/>
                <w:lang w:val="en-GB" w:eastAsia="en-GB"/>
              </w:rPr>
              <w:t> 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000 population; nurses: 307/100</w:t>
            </w:r>
            <w:r w:rsidR="002E3E71">
              <w:rPr>
                <w:rFonts w:ascii="Calibri" w:eastAsia="Times New Roman" w:hAnsi="Calibri" w:cs="Calibri"/>
                <w:b w:val="0"/>
                <w:lang w:val="en-GB" w:eastAsia="en-GB"/>
              </w:rPr>
              <w:t> 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000 population. Most of the aforementioned staff do not receive </w:t>
            </w:r>
            <w:r w:rsidR="00986620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adequate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training on mental health and psychosocial interventions. </w:t>
            </w:r>
          </w:p>
          <w:p w14:paraId="0CE5EDDD" w14:textId="513424D5" w:rsidR="008F45B0" w:rsidRPr="00D902BB" w:rsidRDefault="008649A7" w:rsidP="00E706F5">
            <w:pPr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In terms of specialized human resources, 71 psychiatrists (1.26 per 100</w:t>
            </w:r>
            <w:r w:rsidR="002E3E71">
              <w:rPr>
                <w:rFonts w:ascii="Calibri" w:eastAsia="Times New Roman" w:hAnsi="Calibri" w:cs="Calibri"/>
                <w:b w:val="0"/>
                <w:lang w:val="en-GB" w:eastAsia="en-GB"/>
              </w:rPr>
              <w:t> 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000 population) and 193 psychologists (3.42 per 100</w:t>
            </w:r>
            <w:r w:rsidR="002E3E71">
              <w:rPr>
                <w:rFonts w:ascii="Calibri" w:eastAsia="Times New Roman" w:hAnsi="Calibri" w:cs="Calibri"/>
                <w:b w:val="0"/>
                <w:lang w:val="en-GB" w:eastAsia="en-GB"/>
              </w:rPr>
              <w:t> 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000 po</w:t>
            </w:r>
            <w:r w:rsidR="00575E82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pulation) work in </w:t>
            </w:r>
            <w:r w:rsidR="009C49FA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the </w:t>
            </w:r>
            <w:r w:rsidR="00575E82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mental health </w:t>
            </w:r>
            <w:r w:rsidR="009C49FA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field 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(</w:t>
            </w:r>
            <w:r w:rsidR="00695A13">
              <w:rPr>
                <w:rFonts w:ascii="Calibri" w:eastAsia="Times New Roman" w:hAnsi="Calibri" w:cs="Calibri"/>
                <w:b w:val="0"/>
                <w:lang w:val="en-GB" w:eastAsia="en-GB"/>
              </w:rPr>
              <w:t>WHO-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AIMS, 2015). </w:t>
            </w:r>
            <w:r w:rsidR="00033C97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A</w:t>
            </w:r>
            <w:r w:rsidR="00A33DD2">
              <w:rPr>
                <w:rFonts w:ascii="Calibri" w:eastAsia="Times New Roman" w:hAnsi="Calibri" w:cs="Calibri"/>
                <w:b w:val="0"/>
                <w:lang w:val="en-GB" w:eastAsia="en-GB"/>
              </w:rPr>
              <w:t>n a</w:t>
            </w:r>
            <w:r w:rsidR="00033C97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ccreditation system for both PHC </w:t>
            </w:r>
            <w:r w:rsidR="00C808C0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centres</w:t>
            </w:r>
            <w:r w:rsidR="00033C97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and hospitals is in place.</w:t>
            </w:r>
            <w:r w:rsidR="00773AC7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</w:t>
            </w:r>
          </w:p>
          <w:p w14:paraId="6BE2EA62" w14:textId="3D573CCA" w:rsidR="00C05AFB" w:rsidRPr="00D902BB" w:rsidRDefault="00033C97" w:rsidP="00DA60A2">
            <w:pPr>
              <w:spacing w:beforeLines="40" w:before="96" w:afterLines="40" w:after="96"/>
              <w:jc w:val="both"/>
              <w:rPr>
                <w:rFonts w:ascii="Calibri" w:eastAsia="Times New Roman" w:hAnsi="Calibri" w:cs="Calibri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With the advent of the Syrian crisis, the total resident population increased by more than 30%</w:t>
            </w:r>
            <w:r w:rsidR="00695A13">
              <w:rPr>
                <w:rFonts w:ascii="Calibri" w:eastAsia="Times New Roman" w:hAnsi="Calibri" w:cs="Calibri"/>
                <w:b w:val="0"/>
                <w:lang w:val="en-GB" w:eastAsia="en-GB"/>
              </w:rPr>
              <w:t>,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positioning Lebanon as the host of the highest number </w:t>
            </w:r>
            <w:r w:rsidR="00DA60A2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per capita of displaced Syrians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. This 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lastRenderedPageBreak/>
              <w:t>demographic change has impacted heavily on the country’s economy, infrastructure, employment, environmental</w:t>
            </w:r>
            <w:r w:rsidR="00C05AFB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</w:t>
            </w:r>
            <w:r w:rsidR="00C05AFB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health and basic services. </w:t>
            </w:r>
          </w:p>
          <w:p w14:paraId="7B46AD28" w14:textId="35B0BAF3" w:rsidR="00C03EE3" w:rsidRPr="00D902BB" w:rsidRDefault="00AF50BB" w:rsidP="00A433FD">
            <w:pPr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In terms of financing, and </w:t>
            </w: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d</w:t>
            </w:r>
            <w:r w:rsidR="00A433FD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espite the differen</w:t>
            </w:r>
            <w:r w:rsidR="00C03EE3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t financial schemes in Lebanon</w:t>
            </w:r>
            <w:r w:rsidR="00A433FD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, around half of the population remains uncovered, excluding displaced Syrians and Palestinians living in camps (covered by UNHCR and UNRWA</w:t>
            </w:r>
            <w:r w:rsidR="000C45F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,</w:t>
            </w:r>
            <w:r w:rsidR="00A433FD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respectively). For this section of the population, the </w:t>
            </w:r>
            <w:r w:rsidR="006B7276" w:rsidRPr="006B727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Ministry of Public Health </w:t>
            </w:r>
            <w:r w:rsidR="00A433FD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covers hospital stays and expensive medications and has recently engaged</w:t>
            </w:r>
            <w:r w:rsidR="00B25BEE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</w:t>
            </w:r>
            <w:r w:rsidR="00A433FD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a pre-paid set of services to be delivered to the most vulnerable Lebanese</w:t>
            </w:r>
            <w:r w:rsidR="00B25BEE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through primary care </w:t>
            </w:r>
            <w:r w:rsidR="00C808C0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centres</w:t>
            </w:r>
            <w:r w:rsidR="00A433FD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. </w:t>
            </w:r>
            <w:r w:rsidR="00B25BEE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The </w:t>
            </w:r>
            <w:r w:rsidR="006B7276" w:rsidRPr="006B727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Ministry of Public Health </w:t>
            </w:r>
            <w:r w:rsidR="00B25BEE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succeeded in reducing the out-of-pocket expenditures from 60% in 1998 to 38% in 2012</w:t>
            </w:r>
            <w:r w:rsidR="007F6975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;</w:t>
            </w:r>
            <w:r w:rsidR="00B25BEE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however,</w:t>
            </w:r>
            <w:r w:rsidR="00A433FD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the burden of out-of-pocket expenditure remains the largest source of health expenditure in Lebanon</w:t>
            </w:r>
            <w:r w:rsidR="00B25BEE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.</w:t>
            </w:r>
            <w:r w:rsidR="00A433FD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In addition, health spending as a share of GD</w:t>
            </w:r>
            <w:r w:rsidR="00DA60A2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P has fallen from 12.4% to 7.2%</w:t>
            </w:r>
            <w:r w:rsidR="00A433FD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.</w:t>
            </w:r>
            <w:r w:rsidR="00C03EE3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</w:t>
            </w:r>
          </w:p>
          <w:p w14:paraId="616DC599" w14:textId="026C092D" w:rsidR="00412424" w:rsidRPr="00D902BB" w:rsidRDefault="00D86395" w:rsidP="00A948C1">
            <w:pPr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 w:rsidRPr="00D86395"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 xml:space="preserve">Around 5% of the </w:t>
            </w:r>
            <w:r w:rsidR="006B7276" w:rsidRPr="006B727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Ministry of Public Health </w:t>
            </w:r>
            <w:r w:rsidRPr="00D86395"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>health expenditure is directed towards mental health, covering mostly in-patient care and medication. Nevertheless</w:t>
            </w:r>
            <w:r w:rsidR="007F6975"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>,</w:t>
            </w:r>
            <w:r w:rsidRPr="00D86395"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 xml:space="preserve"> this percentage is an overestimation of the exact situation</w:t>
            </w:r>
            <w:r w:rsidR="007F6975"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>,</w:t>
            </w:r>
            <w:r w:rsidRPr="00D86395"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  <w:t xml:space="preserve"> given that the government’s health expenditure encompasses other ministries that invest mostly in health and little in mental health. </w:t>
            </w:r>
            <w:r w:rsidR="00A433FD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As for mental health coverage, the majority of private insurance 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schemes </w:t>
            </w:r>
            <w:r w:rsidR="00A433FD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do not cover any care. All other schemes cover psychiatric consultations, psychotropic medications and in-patient care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,</w:t>
            </w:r>
            <w:r w:rsidR="00A433FD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with inconsistencies in the level of coverage across different financing schemes.</w:t>
            </w:r>
            <w:r w:rsidR="00A948C1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</w:t>
            </w:r>
            <w:r w:rsidR="0081561C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T</w:t>
            </w:r>
            <w:r w:rsidR="00A948C1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he </w:t>
            </w:r>
            <w:r w:rsidR="006B7276" w:rsidRPr="006B727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Ministry of Public Health </w:t>
            </w:r>
            <w:r w:rsidR="0081561C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is currently piloting service provision of subsidized </w:t>
            </w:r>
            <w:r w:rsidR="00A948C1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packages of care for depression, psychosis, developmental disorders and substance use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-</w:t>
            </w:r>
            <w:r w:rsidR="00A948C1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related disorders to the most vulnerable Lebanese</w:t>
            </w:r>
            <w:r w:rsidR="0081561C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through PHC</w:t>
            </w:r>
            <w:r w:rsidR="00A948C1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. </w:t>
            </w:r>
          </w:p>
          <w:p w14:paraId="4B427857" w14:textId="37994322" w:rsidR="00F065A7" w:rsidRPr="00D902BB" w:rsidRDefault="00384504" w:rsidP="00A948C1">
            <w:pPr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Specific sets of </w:t>
            </w:r>
            <w:r w:rsidR="006B6AAA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general health </w:t>
            </w: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indicators are currently being reported on as part of the PHC </w:t>
            </w:r>
            <w:r w:rsidR="00D97146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health information system </w:t>
            </w:r>
            <w:r w:rsidR="00DB303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(HIS)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,</w:t>
            </w:r>
            <w:r w:rsidR="00DB303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</w:t>
            </w: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with few indicators related to mental health </w:t>
            </w:r>
            <w:r w:rsidR="007639A6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(i.e. number of specialized consultations). </w:t>
            </w:r>
            <w:r w:rsidR="00DB303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More comprehensive mental health indicators 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have been</w:t>
            </w:r>
            <w:r w:rsidR="00DB303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developed and 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are </w:t>
            </w:r>
            <w:r w:rsidR="00DB303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in 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the </w:t>
            </w:r>
            <w:r w:rsidR="00DB303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process of integration into the current HIS. </w:t>
            </w:r>
          </w:p>
        </w:tc>
      </w:tr>
      <w:tr w:rsidR="00412424" w:rsidRPr="00D902BB" w14:paraId="705923E9" w14:textId="77777777" w:rsidTr="00CF3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BE5F1" w:themeFill="accent1" w:themeFillTint="33"/>
          </w:tcPr>
          <w:p w14:paraId="7DF3EB17" w14:textId="2BE26563" w:rsidR="00412424" w:rsidRPr="00D97146" w:rsidRDefault="00412424" w:rsidP="00412424">
            <w:pPr>
              <w:tabs>
                <w:tab w:val="num" w:pos="720"/>
              </w:tabs>
              <w:spacing w:beforeLines="40" w:before="96" w:afterLines="40" w:after="96"/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</w:pP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lastRenderedPageBreak/>
              <w:t xml:space="preserve">Briefly describe the process of 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i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ntegration of mental health in general health care/PHC in your country: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 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Please indicate the proportion of</w:t>
            </w:r>
            <w:r w:rsidR="006B7276"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 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PHC facilities which are providing</w:t>
            </w:r>
            <w:r w:rsidR="006B7276"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 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integrated services and</w:t>
            </w:r>
            <w:r w:rsidR="006B7276"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 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provide information about the governance mechanisms/structures</w:t>
            </w:r>
            <w:r w:rsidR="006B7276"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 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put into place to facilitate integration, financing</w:t>
            </w:r>
            <w:r w:rsidR="006B7276"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 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mechanisms, 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h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uman resource development strategies (including training, deployment and</w:t>
            </w:r>
            <w:r w:rsidR="006B7276"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 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continued development),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 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package of mental health interventions being delivered in an integrated manner, </w:t>
            </w:r>
            <w:r w:rsidR="00892138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and 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m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onitoring and evaluation mechanisms put in place to support the process of integration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,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 including</w:t>
            </w:r>
            <w:r w:rsidR="006B7276"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 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integrating 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a 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mental health component in 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the 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national health</w:t>
            </w:r>
            <w:r w:rsidR="006B7276"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 xml:space="preserve"> </w:t>
            </w:r>
            <w:r w:rsidR="00245CAB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i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nformation system (</w:t>
            </w:r>
            <w:r w:rsid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c</w:t>
            </w:r>
            <w:r w:rsidRPr="00D97146">
              <w:rPr>
                <w:rFonts w:ascii="Calibri" w:eastAsia="Times New Roman" w:hAnsi="Calibri" w:cs="Calibri"/>
                <w:b w:val="0"/>
                <w:bCs w:val="0"/>
                <w:color w:val="1F497D" w:themeColor="text2"/>
                <w:sz w:val="20"/>
                <w:szCs w:val="20"/>
                <w:lang w:val="en-GB" w:eastAsia="en-GB"/>
              </w:rPr>
              <w:t>ore set of indicators, standard collection, collation, analysis and reporting mechanisms)</w:t>
            </w:r>
          </w:p>
          <w:p w14:paraId="118ECC17" w14:textId="1AAB7729" w:rsidR="00513BF9" w:rsidRPr="00D902BB" w:rsidRDefault="00907820" w:rsidP="00E02190">
            <w:pPr>
              <w:tabs>
                <w:tab w:val="num" w:pos="720"/>
              </w:tabs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At </w:t>
            </w:r>
            <w:r w:rsidR="00245CA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the </w:t>
            </w: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primary care level, </w:t>
            </w:r>
            <w:r w:rsidR="0000480F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integration varies among different entities, ranging from delivery of essential psychotropic medication to very few having consultations by a mental health specialist. </w:t>
            </w:r>
            <w:r w:rsidR="00E02190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With the support of WHO, </w:t>
            </w:r>
            <w:r w:rsidR="000D18BC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and </w:t>
            </w:r>
            <w:r w:rsidR="0000480F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as part of the </w:t>
            </w:r>
            <w:r w:rsidR="006B7276" w:rsidRPr="006B727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Ministry of Public Health</w:t>
            </w:r>
            <w:r w:rsidR="00B86E45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’s</w:t>
            </w:r>
            <w:r w:rsidR="006B7276" w:rsidRPr="006B727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</w:t>
            </w:r>
            <w:r w:rsidR="0000480F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plan for integrating mental health into primary health care, PHC staff (GPs, nurses and social workers) from more than 120 </w:t>
            </w:r>
            <w:r w:rsidR="00470290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centres</w:t>
            </w:r>
            <w:r w:rsidR="0000480F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within the </w:t>
            </w:r>
            <w:r w:rsidR="006B7276" w:rsidRPr="006B727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Ministry of Public Health </w:t>
            </w:r>
            <w:r w:rsidR="0000480F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network have received training on assessing, identifying, managing and referring mental health cases using the </w:t>
            </w:r>
            <w:r w:rsidR="00C30C11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M</w:t>
            </w:r>
            <w:r w:rsidR="0000480F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ental </w:t>
            </w:r>
            <w:r w:rsidR="00C30C11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H</w:t>
            </w:r>
            <w:r w:rsidR="0000480F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ealth Gap Actio</w:t>
            </w:r>
            <w:r w:rsidR="0083574B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n Programme</w:t>
            </w:r>
            <w:r w:rsidR="00C30C11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</w:t>
            </w:r>
            <w:r w:rsidR="0083574B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Intervention Guide</w:t>
            </w:r>
            <w:r w:rsidR="0000480F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(mhGAP-IG)</w:t>
            </w:r>
            <w:r w:rsidR="00E02190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since 2013</w:t>
            </w:r>
            <w:r w:rsidR="0000480F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. </w:t>
            </w:r>
            <w:r w:rsidR="00513BF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This was coupled with support and supervision for staff</w:t>
            </w:r>
            <w:r w:rsidR="00C30C11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, but</w:t>
            </w:r>
            <w:r w:rsidR="00513BF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not </w:t>
            </w:r>
            <w:r w:rsidR="00C30C11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at</w:t>
            </w:r>
            <w:r w:rsidR="00513BF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a steady pace. </w:t>
            </w:r>
          </w:p>
          <w:p w14:paraId="2E385637" w14:textId="7B223CF4" w:rsidR="00412424" w:rsidRPr="00D902BB" w:rsidRDefault="00C533A4" w:rsidP="00C533A4">
            <w:pPr>
              <w:tabs>
                <w:tab w:val="num" w:pos="720"/>
              </w:tabs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Currently, the </w:t>
            </w:r>
            <w:r w:rsidR="006B7276" w:rsidRPr="006B727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Ministry of Public Health </w:t>
            </w: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is preparing for piloting the stepped care community approach in provision of mental health packages at PHC centres</w:t>
            </w:r>
            <w:r w:rsidR="00CA3302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with the support of the World Bank</w:t>
            </w: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. A total of </w:t>
            </w:r>
            <w:r w:rsidR="001356CA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40 </w:t>
            </w:r>
            <w:r w:rsidR="000E36C7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centres</w:t>
            </w:r>
            <w:r w:rsidR="001356CA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were selected to receive more in-depth training</w:t>
            </w:r>
            <w:r w:rsidR="009006D8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on mhGAP and other modules</w:t>
            </w: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(i.e. HIS, reporting, psychological screening tools, protocols of care, etc.). Staff from these 40 centres will receive regular support and supervision and will report on a specific set of mental health indicators. </w:t>
            </w:r>
            <w:r w:rsidR="001222C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Moreover</w:t>
            </w:r>
            <w:r w:rsidR="00682664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, </w:t>
            </w:r>
            <w:r w:rsidR="00DF419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from these 40 selected centres, </w:t>
            </w:r>
            <w:r w:rsidR="00682664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12 were identified to provide </w:t>
            </w:r>
            <w:r w:rsidR="00DF419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more specialized </w:t>
            </w:r>
            <w:r w:rsidR="00682664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mental health services</w:t>
            </w:r>
            <w:r w:rsidR="00A74A34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</w:t>
            </w:r>
            <w:r w:rsidR="00DF419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via a multidisciplinary team </w:t>
            </w:r>
            <w:r w:rsidR="00A74A34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as part of this pilot</w:t>
            </w: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. This pilot project is </w:t>
            </w:r>
            <w:r w:rsidR="003C4E44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to be </w:t>
            </w: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implemented from 2018 till 2022 and deployment of centres into the pilot is progressive.</w:t>
            </w:r>
            <w:r w:rsidR="00136533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</w:t>
            </w:r>
          </w:p>
          <w:p w14:paraId="425036E0" w14:textId="08B2027B" w:rsidR="00E706F5" w:rsidRPr="00D902BB" w:rsidRDefault="00C709C9" w:rsidP="00652A51">
            <w:pPr>
              <w:tabs>
                <w:tab w:val="num" w:pos="720"/>
              </w:tabs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At general hospital level, </w:t>
            </w:r>
            <w:r w:rsidR="00652A51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during</w:t>
            </w:r>
            <w:r w:rsidR="00E706F5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2016</w:t>
            </w:r>
            <w:r w:rsidR="00E830D2">
              <w:rPr>
                <w:rFonts w:ascii="Calibri" w:eastAsia="Times New Roman" w:hAnsi="Calibri" w:cs="Calibri"/>
                <w:b w:val="0"/>
                <w:lang w:val="en-GB" w:eastAsia="en-GB"/>
              </w:rPr>
              <w:sym w:font="Symbol" w:char="F02D"/>
            </w:r>
            <w:r w:rsidR="00E830D2">
              <w:rPr>
                <w:rFonts w:ascii="Calibri" w:eastAsia="Times New Roman" w:hAnsi="Calibri" w:cs="Calibri"/>
                <w:b w:val="0"/>
                <w:lang w:val="en-GB" w:eastAsia="en-GB"/>
              </w:rPr>
              <w:t>20</w:t>
            </w:r>
            <w:r w:rsidR="00E706F5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17, more than 200 staff (doctors and nurses) working in emergency departments of 116 hospitals (public and private) were trained on management of </w:t>
            </w:r>
            <w:r w:rsidR="00E706F5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lastRenderedPageBreak/>
              <w:t>psychiatric emergencies.</w:t>
            </w:r>
            <w:r w:rsidR="00652A51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Following an evaluation of this initiative, the full emergency department staff of 10 hospitals is currently being trained on managing psychiatric emergencies. </w:t>
            </w:r>
            <w:r w:rsidR="00B901CE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These hospitals will receive psychotropic medication as well as staff support and supervision. Mental health indicators will be regularly collected. </w:t>
            </w:r>
          </w:p>
          <w:p w14:paraId="1A560060" w14:textId="2A2EDA66" w:rsidR="00611E4C" w:rsidRPr="00D902BB" w:rsidRDefault="00D902BB" w:rsidP="00D902BB">
            <w:pPr>
              <w:tabs>
                <w:tab w:val="num" w:pos="720"/>
              </w:tabs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Moreover</w:t>
            </w:r>
            <w:r w:rsidR="00611E4C"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, 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in 2017</w:t>
            </w:r>
            <w:r w:rsidR="004E3650">
              <w:rPr>
                <w:rFonts w:ascii="Calibri" w:eastAsia="Times New Roman" w:hAnsi="Calibri" w:cs="Calibri"/>
                <w:b w:val="0"/>
                <w:lang w:val="en-GB" w:eastAsia="en-GB"/>
              </w:rPr>
              <w:t>,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the </w:t>
            </w:r>
            <w:r w:rsidR="006B7276" w:rsidRPr="006B727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Ministry of Public Health 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started piloting a model of care in a public hospital in Beirut which has a PHC centre linked to the hospital. The model of care is based on </w:t>
            </w:r>
            <w:r w:rsidR="00FB26A4"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a </w:t>
            </w:r>
            <w:r w:rsidRPr="00D902BB">
              <w:rPr>
                <w:rFonts w:ascii="Calibri" w:eastAsia="Times New Roman" w:hAnsi="Calibri" w:cs="Calibri"/>
                <w:b w:val="0"/>
                <w:lang w:val="en-GB" w:eastAsia="en-GB"/>
              </w:rPr>
              <w:t>comprehensive c</w:t>
            </w:r>
            <w:r w:rsidR="00FB26A4">
              <w:rPr>
                <w:rFonts w:ascii="Calibri" w:eastAsia="Times New Roman" w:hAnsi="Calibri" w:cs="Calibri"/>
                <w:b w:val="0"/>
                <w:lang w:val="en-GB" w:eastAsia="en-GB"/>
              </w:rPr>
              <w:t>ommunity mental health service</w:t>
            </w:r>
            <w:r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that ensures continuum of care between the different levels</w:t>
            </w:r>
            <w:r w:rsidR="004E3650">
              <w:rPr>
                <w:rFonts w:ascii="Calibri" w:eastAsia="Times New Roman" w:hAnsi="Calibri" w:cs="Calibri"/>
                <w:b w:val="0"/>
                <w:lang w:val="en-GB" w:eastAsia="en-GB"/>
              </w:rPr>
              <w:t>,</w:t>
            </w:r>
            <w:r>
              <w:rPr>
                <w:rFonts w:ascii="Calibri" w:eastAsia="Times New Roman" w:hAnsi="Calibri" w:cs="Calibri"/>
                <w:b w:val="0"/>
                <w:lang w:val="en-GB" w:eastAsia="en-GB"/>
              </w:rPr>
              <w:t xml:space="preserve"> namely PHC, community mental health centre, general in-ward, emergency department and psychiatric in-ward. </w:t>
            </w:r>
          </w:p>
        </w:tc>
      </w:tr>
      <w:tr w:rsidR="002C5E8B" w:rsidRPr="00D902BB" w14:paraId="0B055C99" w14:textId="77777777" w:rsidTr="008933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BE5F1" w:themeFill="accent1" w:themeFillTint="33"/>
          </w:tcPr>
          <w:p w14:paraId="26C394F6" w14:textId="77777777" w:rsidR="00C70F63" w:rsidRPr="00D902BB" w:rsidRDefault="002C5E8B" w:rsidP="00C70F63">
            <w:pPr>
              <w:spacing w:beforeLines="40" w:before="96" w:afterLines="40" w:after="96"/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  <w:lastRenderedPageBreak/>
              <w:t>What challenges did you face?</w:t>
            </w:r>
          </w:p>
          <w:p w14:paraId="383669D3" w14:textId="3E8A263C" w:rsidR="009D74AE" w:rsidRPr="00D902BB" w:rsidRDefault="002A4ED5" w:rsidP="005D72ED">
            <w:pPr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Stigma remains the most important challenge facing mental health (patients and professionals), cutting across all aspects of care and leading to discrimination. </w:t>
            </w:r>
            <w:r w:rsidR="000D4F83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Little awareness of the public about mental health disorders and treatment</w:t>
            </w:r>
            <w:r w:rsidR="000D070F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,</w:t>
            </w:r>
            <w:r w:rsidR="000D4F83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</w:t>
            </w:r>
            <w:r w:rsidR="00D42FCB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as well as established misconceptions, hinder people from perceiving the need to seek adequate and professional care. </w:t>
            </w:r>
            <w:r w:rsidR="006961D1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The media</w:t>
            </w:r>
            <w:r w:rsidR="000D070F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,</w:t>
            </w:r>
            <w:r w:rsidR="006961D1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on the other hand</w:t>
            </w:r>
            <w:r w:rsidR="000D070F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,</w:t>
            </w:r>
            <w:r w:rsidR="006961D1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further accentuates this by </w:t>
            </w:r>
            <w:r w:rsidR="00D70095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channelling</w:t>
            </w:r>
            <w:r w:rsidR="006961D1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scattered information</w:t>
            </w:r>
            <w:r w:rsidR="005D72ED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which is not always evidence-based</w:t>
            </w:r>
            <w:r w:rsidR="006961D1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.</w:t>
            </w:r>
            <w:r w:rsidR="006B727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</w:t>
            </w:r>
          </w:p>
          <w:p w14:paraId="1A868FEF" w14:textId="0E28FAD0" w:rsidR="009D74AE" w:rsidRPr="00D902BB" w:rsidRDefault="009D74AE" w:rsidP="005074AA">
            <w:pPr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In terms of human resources, </w:t>
            </w:r>
            <w:r w:rsidR="001C3DCC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the </w:t>
            </w: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mental health workforce is mostly concentrated centrally and in the private sector, lead</w:t>
            </w:r>
            <w:r w:rsidR="0028175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ing to limited access to care. </w:t>
            </w: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In addition, there </w:t>
            </w:r>
            <w:r w:rsidR="001C3DCC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is</w:t>
            </w: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no referral system in place to ensure the continuum of care. </w:t>
            </w:r>
          </w:p>
          <w:p w14:paraId="374C73DB" w14:textId="08122A74" w:rsidR="007D5424" w:rsidRPr="00D902BB" w:rsidRDefault="00E96148" w:rsidP="003D1E57">
            <w:pPr>
              <w:spacing w:beforeLines="40" w:before="96" w:afterLines="40" w:after="96"/>
              <w:jc w:val="both"/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Narrowing down the scope to efforts in integrating mental health in primary health care, the availability of staff </w:t>
            </w:r>
            <w:r w:rsidR="00CC1C69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and</w:t>
            </w:r>
            <w:r w:rsidR="003D1E57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retention of trained staff </w:t>
            </w:r>
            <w:r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at PHC level is always a challenge. Moreover, misconceptions that PHC staff have on mental health disorders and treatment make it very challenging and time-consuming to integrate mental health care. </w:t>
            </w:r>
            <w:r w:rsidR="007D5424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Funding is not steady</w:t>
            </w:r>
            <w:r w:rsidR="00CC1C69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,</w:t>
            </w:r>
            <w:r w:rsidR="007D5424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</w:t>
            </w:r>
            <w:r w:rsidR="00FA3C3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which leads to instability in building capacities of staff and regular supervision</w:t>
            </w:r>
            <w:r w:rsidR="006A44DC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and thus jeopardizes the transition towards community-based mental health services</w:t>
            </w:r>
            <w:r w:rsidR="00FA3C39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. </w:t>
            </w:r>
            <w:r w:rsidR="007E4167" w:rsidRPr="00D902BB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Another major challenge is the lack of mental health professionals to conduct the supervisory visits. </w:t>
            </w:r>
          </w:p>
        </w:tc>
      </w:tr>
      <w:tr w:rsidR="002C5E8B" w:rsidRPr="00D902BB" w14:paraId="20FAFC97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BE5F1" w:themeFill="accent1" w:themeFillTint="33"/>
          </w:tcPr>
          <w:p w14:paraId="67BE0A5C" w14:textId="77777777" w:rsidR="002C5E8B" w:rsidRPr="00D902BB" w:rsidRDefault="002C5E8B" w:rsidP="008B361C">
            <w:pPr>
              <w:spacing w:beforeLines="40" w:before="96" w:afterLines="40" w:after="96"/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  <w:t xml:space="preserve">What are your future plans for the </w:t>
            </w:r>
            <w:r w:rsidRPr="00D902BB">
              <w:rPr>
                <w:b w:val="0"/>
                <w:color w:val="1F497D" w:themeColor="text2"/>
                <w:sz w:val="20"/>
                <w:szCs w:val="20"/>
                <w:lang w:val="en-GB"/>
              </w:rPr>
              <w:t>intervention/action</w:t>
            </w:r>
            <w:r w:rsidRPr="00D902BB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  <w:t>?</w:t>
            </w:r>
          </w:p>
          <w:p w14:paraId="00A04EC8" w14:textId="63323747" w:rsidR="000B33BC" w:rsidRPr="00D902BB" w:rsidRDefault="00CC1C69" w:rsidP="008659F2">
            <w:pPr>
              <w:spacing w:beforeLines="40" w:before="96" w:afterLines="40" w:after="96"/>
              <w:jc w:val="both"/>
              <w:rPr>
                <w:b w:val="0"/>
                <w:lang w:val="en-GB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The </w:t>
            </w:r>
            <w:r w:rsidR="006B7276" w:rsidRPr="006B727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Ministry of Public Health</w:t>
            </w:r>
            <w:r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>’s</w:t>
            </w:r>
            <w:r w:rsidR="006B7276" w:rsidRPr="006B7276">
              <w:rPr>
                <w:rFonts w:ascii="Calibri" w:eastAsia="Times New Roman" w:hAnsi="Calibri" w:cs="Calibri"/>
                <w:b w:val="0"/>
                <w:bCs w:val="0"/>
                <w:lang w:val="en-GB" w:eastAsia="en-GB"/>
              </w:rPr>
              <w:t xml:space="preserve"> </w:t>
            </w:r>
            <w:r w:rsidR="00D67FC7" w:rsidRPr="00D67FC7">
              <w:rPr>
                <w:b w:val="0"/>
              </w:rPr>
              <w:t>strategic partnership with WHO, UNICEF and IMC le</w:t>
            </w:r>
            <w:r w:rsidR="00D67FC7">
              <w:rPr>
                <w:b w:val="0"/>
              </w:rPr>
              <w:t>d to</w:t>
            </w:r>
            <w:r w:rsidR="00D67FC7" w:rsidRPr="00D67FC7">
              <w:rPr>
                <w:b w:val="0"/>
              </w:rPr>
              <w:t xml:space="preserve"> the </w:t>
            </w:r>
            <w:r w:rsidR="008659F2">
              <w:rPr>
                <w:b w:val="0"/>
              </w:rPr>
              <w:t>establishment</w:t>
            </w:r>
            <w:r w:rsidR="00D67FC7" w:rsidRPr="00D67FC7">
              <w:rPr>
                <w:b w:val="0"/>
              </w:rPr>
              <w:t xml:space="preserve"> of the National Mental Health Programme</w:t>
            </w:r>
            <w:r w:rsidR="006B7276">
              <w:rPr>
                <w:b w:val="0"/>
              </w:rPr>
              <w:t xml:space="preserve"> </w:t>
            </w:r>
            <w:r w:rsidR="00D67FC7" w:rsidRPr="00D67FC7">
              <w:rPr>
                <w:b w:val="0"/>
              </w:rPr>
              <w:t>in 2014 that is currently working on reforming the mental health system towards community-based mental health services in line with human rights and scientific evidence</w:t>
            </w:r>
            <w:r>
              <w:rPr>
                <w:b w:val="0"/>
              </w:rPr>
              <w:t>,</w:t>
            </w:r>
            <w:r w:rsidR="00D67FC7" w:rsidRPr="00D67FC7">
              <w:rPr>
                <w:b w:val="0"/>
              </w:rPr>
              <w:t xml:space="preserve"> along with an increasing number of partners from the NGO, academi</w:t>
            </w:r>
            <w:r w:rsidR="00F030C6">
              <w:rPr>
                <w:b w:val="0"/>
              </w:rPr>
              <w:t>c</w:t>
            </w:r>
            <w:r w:rsidR="00D67FC7" w:rsidRPr="00D67FC7">
              <w:rPr>
                <w:b w:val="0"/>
              </w:rPr>
              <w:t xml:space="preserve"> and government</w:t>
            </w:r>
            <w:r w:rsidR="00F030C6">
              <w:rPr>
                <w:b w:val="0"/>
              </w:rPr>
              <w:t>al</w:t>
            </w:r>
            <w:r w:rsidR="00D67FC7" w:rsidRPr="00D67FC7">
              <w:rPr>
                <w:b w:val="0"/>
              </w:rPr>
              <w:t xml:space="preserve"> sectors. </w:t>
            </w:r>
            <w:r w:rsidR="00EC28DC">
              <w:rPr>
                <w:b w:val="0"/>
              </w:rPr>
              <w:t xml:space="preserve">In 2015, </w:t>
            </w:r>
            <w:r w:rsidR="007E3A1D" w:rsidRPr="00D902BB">
              <w:rPr>
                <w:b w:val="0"/>
                <w:lang w:val="en-GB"/>
              </w:rPr>
              <w:t>the National Mental Health Strategy for Lebanon (2015</w:t>
            </w:r>
            <w:r w:rsidR="00E830D2">
              <w:rPr>
                <w:rFonts w:ascii="Calibri" w:eastAsia="Times New Roman" w:hAnsi="Calibri" w:cs="Calibri"/>
                <w:b w:val="0"/>
                <w:lang w:val="en-GB" w:eastAsia="en-GB"/>
              </w:rPr>
              <w:sym w:font="Symbol" w:char="F02D"/>
            </w:r>
            <w:r w:rsidR="007E3A1D" w:rsidRPr="00D902BB">
              <w:rPr>
                <w:b w:val="0"/>
                <w:lang w:val="en-GB"/>
              </w:rPr>
              <w:t>2020)</w:t>
            </w:r>
            <w:r w:rsidR="00EC28DC">
              <w:rPr>
                <w:b w:val="0"/>
                <w:lang w:val="en-GB"/>
              </w:rPr>
              <w:t xml:space="preserve"> was launched</w:t>
            </w:r>
            <w:r w:rsidR="007E3A1D" w:rsidRPr="00D902BB">
              <w:rPr>
                <w:b w:val="0"/>
                <w:lang w:val="en-GB"/>
              </w:rPr>
              <w:t xml:space="preserve">. </w:t>
            </w:r>
            <w:r w:rsidR="003173B2" w:rsidRPr="00D902BB">
              <w:rPr>
                <w:b w:val="0"/>
                <w:lang w:val="en-GB"/>
              </w:rPr>
              <w:t xml:space="preserve">Next steps include continued integration of mental health in </w:t>
            </w:r>
            <w:r w:rsidR="00D66596" w:rsidRPr="00D902BB">
              <w:rPr>
                <w:b w:val="0"/>
                <w:lang w:val="en-GB"/>
              </w:rPr>
              <w:t>general</w:t>
            </w:r>
            <w:r w:rsidR="003173B2" w:rsidRPr="00D902BB">
              <w:rPr>
                <w:b w:val="0"/>
                <w:lang w:val="en-GB"/>
              </w:rPr>
              <w:t xml:space="preserve"> health care </w:t>
            </w:r>
            <w:r w:rsidR="00D66596" w:rsidRPr="00D902BB">
              <w:rPr>
                <w:b w:val="0"/>
                <w:lang w:val="en-GB"/>
              </w:rPr>
              <w:t xml:space="preserve">(PHC and general hospitals) </w:t>
            </w:r>
            <w:r w:rsidR="003173B2" w:rsidRPr="00D902BB">
              <w:rPr>
                <w:b w:val="0"/>
                <w:lang w:val="en-GB"/>
              </w:rPr>
              <w:t xml:space="preserve">through the </w:t>
            </w:r>
            <w:r w:rsidR="004E67B7" w:rsidRPr="00D902BB">
              <w:rPr>
                <w:b w:val="0"/>
                <w:lang w:val="en-GB"/>
              </w:rPr>
              <w:t>comprehensive integration</w:t>
            </w:r>
            <w:r w:rsidR="003173B2" w:rsidRPr="00D902BB">
              <w:rPr>
                <w:b w:val="0"/>
                <w:lang w:val="en-GB"/>
              </w:rPr>
              <w:t xml:space="preserve"> of </w:t>
            </w:r>
            <w:r w:rsidR="004E67B7" w:rsidRPr="00D902BB">
              <w:rPr>
                <w:b w:val="0"/>
                <w:lang w:val="en-GB"/>
              </w:rPr>
              <w:t>mental health</w:t>
            </w:r>
            <w:r w:rsidR="003173B2" w:rsidRPr="00D902BB">
              <w:rPr>
                <w:b w:val="0"/>
                <w:lang w:val="en-GB"/>
              </w:rPr>
              <w:t xml:space="preserve"> </w:t>
            </w:r>
            <w:r w:rsidR="004E67B7" w:rsidRPr="00D902BB">
              <w:rPr>
                <w:b w:val="0"/>
                <w:lang w:val="en-GB"/>
              </w:rPr>
              <w:t>service</w:t>
            </w:r>
            <w:r w:rsidR="00D1030B" w:rsidRPr="00D902BB">
              <w:rPr>
                <w:b w:val="0"/>
                <w:lang w:val="en-GB"/>
              </w:rPr>
              <w:t>s</w:t>
            </w:r>
            <w:r w:rsidR="004E67B7" w:rsidRPr="00D902BB">
              <w:rPr>
                <w:b w:val="0"/>
                <w:lang w:val="en-GB"/>
              </w:rPr>
              <w:t xml:space="preserve"> </w:t>
            </w:r>
            <w:r w:rsidR="0080608F" w:rsidRPr="00D902BB">
              <w:rPr>
                <w:b w:val="0"/>
                <w:lang w:val="en-GB"/>
              </w:rPr>
              <w:t xml:space="preserve">throughout the country. </w:t>
            </w:r>
          </w:p>
        </w:tc>
      </w:tr>
      <w:tr w:rsidR="003F466E" w:rsidRPr="00D902BB" w14:paraId="45186774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4F81BD" w:themeFill="accent1"/>
          </w:tcPr>
          <w:p w14:paraId="7C6EE371" w14:textId="77777777" w:rsidR="003F466E" w:rsidRPr="00D902BB" w:rsidRDefault="003F466E" w:rsidP="00BB0D7C">
            <w:pPr>
              <w:spacing w:beforeLines="40" w:before="96" w:afterLines="40" w:after="96"/>
              <w:rPr>
                <w:color w:val="FFFFFF" w:themeColor="background1"/>
                <w:sz w:val="20"/>
                <w:szCs w:val="20"/>
                <w:lang w:val="en-GB"/>
              </w:rPr>
            </w:pPr>
            <w:r w:rsidRPr="00D902BB">
              <w:rPr>
                <w:color w:val="FFFFFF" w:themeColor="background1"/>
                <w:sz w:val="20"/>
                <w:szCs w:val="20"/>
                <w:lang w:val="en-GB"/>
              </w:rPr>
              <w:t xml:space="preserve">IMPACT OF </w:t>
            </w:r>
            <w:r w:rsidR="008B361C" w:rsidRPr="00D902BB">
              <w:rPr>
                <w:bCs w:val="0"/>
                <w:color w:val="FFFFFF" w:themeColor="background1"/>
                <w:sz w:val="20"/>
                <w:szCs w:val="20"/>
                <w:lang w:val="en-GB"/>
              </w:rPr>
              <w:t>INTERVENTION/ACTION</w:t>
            </w:r>
          </w:p>
        </w:tc>
      </w:tr>
      <w:tr w:rsidR="003F466E" w:rsidRPr="00D902BB" w14:paraId="0D635109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54459B4A" w14:textId="77777777" w:rsidR="003F466E" w:rsidRPr="00D902BB" w:rsidRDefault="00412424" w:rsidP="00412424">
            <w:pPr>
              <w:spacing w:beforeLines="40" w:before="96" w:afterLines="40" w:after="96"/>
              <w:rPr>
                <w:b w:val="0"/>
                <w:color w:val="1F497D" w:themeColor="text2"/>
                <w:sz w:val="20"/>
                <w:szCs w:val="20"/>
                <w:lang w:val="en-GB"/>
              </w:rPr>
            </w:pPr>
            <w:r w:rsidRPr="00D902BB">
              <w:rPr>
                <w:b w:val="0"/>
                <w:color w:val="1F497D" w:themeColor="text2"/>
                <w:sz w:val="20"/>
                <w:szCs w:val="20"/>
                <w:lang w:val="en-GB"/>
              </w:rPr>
              <w:t xml:space="preserve">Any studies conducted to </w:t>
            </w:r>
            <w:r w:rsidRPr="00D902BB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  <w:t xml:space="preserve">evaluate the </w:t>
            </w:r>
            <w:r w:rsidRPr="00D902BB">
              <w:rPr>
                <w:b w:val="0"/>
                <w:color w:val="1F497D" w:themeColor="text2"/>
                <w:sz w:val="20"/>
                <w:szCs w:val="20"/>
                <w:lang w:val="en-GB"/>
              </w:rPr>
              <w:t>process and impact of integration of mental health in PHC</w:t>
            </w:r>
            <w:r w:rsidRPr="00D902BB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  <w:t>?</w:t>
            </w:r>
          </w:p>
        </w:tc>
      </w:tr>
      <w:tr w:rsidR="003F466E" w:rsidRPr="00D902BB" w14:paraId="485DB6DF" w14:textId="77777777" w:rsidTr="004124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36287001" w14:textId="5EAAB4D9" w:rsidR="009E1CC2" w:rsidRPr="009E1CC2" w:rsidRDefault="009E1CC2" w:rsidP="00724F9A">
            <w:pPr>
              <w:spacing w:beforeLines="40" w:before="96" w:afterLines="40" w:after="96"/>
              <w:jc w:val="both"/>
              <w:rPr>
                <w:b w:val="0"/>
                <w:bCs w:val="0"/>
                <w:lang w:val="en-US"/>
              </w:rPr>
            </w:pPr>
            <w:r w:rsidRPr="009E1CC2">
              <w:rPr>
                <w:b w:val="0"/>
                <w:bCs w:val="0"/>
                <w:lang w:val="en-US"/>
              </w:rPr>
              <w:t>The first systematic approach to national capacity-building using evidence-based interventions in Lebanon</w:t>
            </w:r>
            <w:r w:rsidR="00724F9A">
              <w:rPr>
                <w:b w:val="0"/>
                <w:bCs w:val="0"/>
                <w:lang w:val="en-US"/>
              </w:rPr>
              <w:t xml:space="preserve"> is currently being evaluated in terms of </w:t>
            </w:r>
            <w:r w:rsidRPr="009E1CC2">
              <w:rPr>
                <w:b w:val="0"/>
                <w:bCs w:val="0"/>
                <w:lang w:val="en-US"/>
              </w:rPr>
              <w:t>feasibility, acceptability and preliminary effectiveness of implementation by tracking outcomes on provider, superviso</w:t>
            </w:r>
            <w:r w:rsidR="0022290A">
              <w:rPr>
                <w:b w:val="0"/>
                <w:bCs w:val="0"/>
                <w:lang w:val="en-US"/>
              </w:rPr>
              <w:t>r</w:t>
            </w:r>
            <w:r w:rsidRPr="009E1CC2">
              <w:rPr>
                <w:b w:val="0"/>
                <w:bCs w:val="0"/>
                <w:lang w:val="en-US"/>
              </w:rPr>
              <w:t xml:space="preserve"> and patient levels in community and primary care settings.</w:t>
            </w:r>
          </w:p>
        </w:tc>
      </w:tr>
      <w:tr w:rsidR="003F466E" w:rsidRPr="00D902BB" w14:paraId="23C119F9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E3D610D" w14:textId="77777777" w:rsidR="003F466E" w:rsidRPr="00D902BB" w:rsidRDefault="003F466E" w:rsidP="00412424">
            <w:pPr>
              <w:spacing w:beforeLines="40" w:before="96" w:afterLines="40" w:after="96"/>
              <w:rPr>
                <w:lang w:val="en-GB"/>
              </w:rPr>
            </w:pPr>
            <w:r w:rsidRPr="00D902BB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  <w:t xml:space="preserve">What impact has the </w:t>
            </w:r>
            <w:r w:rsidR="00412424" w:rsidRPr="00D902BB">
              <w:rPr>
                <w:b w:val="0"/>
                <w:color w:val="1F497D" w:themeColor="text2"/>
                <w:sz w:val="20"/>
                <w:szCs w:val="20"/>
                <w:lang w:val="en-GB"/>
              </w:rPr>
              <w:t xml:space="preserve">integration </w:t>
            </w:r>
            <w:r w:rsidR="00412424" w:rsidRPr="00D902BB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  <w:t>had</w:t>
            </w:r>
            <w:r w:rsidRPr="00D902BB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  <w:t xml:space="preserve"> (e.g. number of people treated, impact on patient outcomes, or reduction in stigma)?</w:t>
            </w:r>
          </w:p>
        </w:tc>
      </w:tr>
      <w:tr w:rsidR="003F466E" w:rsidRPr="00D902BB" w14:paraId="215E4B13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420E2EAA" w14:textId="77777777" w:rsidR="00603158" w:rsidRPr="00D902BB" w:rsidRDefault="00603158" w:rsidP="00412424">
            <w:pPr>
              <w:tabs>
                <w:tab w:val="left" w:pos="-1843"/>
              </w:tabs>
              <w:ind w:left="720" w:right="389"/>
              <w:jc w:val="both"/>
              <w:rPr>
                <w:rFonts w:cs="Times New Roman"/>
                <w:b w:val="0"/>
                <w:bCs w:val="0"/>
                <w:lang w:val="en-GB" w:bidi="ar-JO"/>
              </w:rPr>
            </w:pPr>
            <w:r w:rsidRPr="00D902BB">
              <w:rPr>
                <w:rFonts w:cs="Times New Roman"/>
                <w:b w:val="0"/>
                <w:bCs w:val="0"/>
                <w:lang w:val="en-GB" w:bidi="ar-JO"/>
              </w:rPr>
              <w:t xml:space="preserve"> </w:t>
            </w:r>
          </w:p>
          <w:p w14:paraId="3520F4FE" w14:textId="77777777" w:rsidR="00412424" w:rsidRPr="00D902BB" w:rsidRDefault="00412424" w:rsidP="00412424">
            <w:pPr>
              <w:tabs>
                <w:tab w:val="left" w:pos="-1843"/>
              </w:tabs>
              <w:ind w:left="720" w:right="389"/>
              <w:jc w:val="both"/>
              <w:rPr>
                <w:rFonts w:cs="Times New Roman"/>
                <w:b w:val="0"/>
                <w:bCs w:val="0"/>
                <w:lang w:val="en-GB" w:bidi="ar-JO"/>
              </w:rPr>
            </w:pPr>
          </w:p>
          <w:p w14:paraId="4C6387D1" w14:textId="77777777" w:rsidR="00412424" w:rsidRPr="00D902BB" w:rsidRDefault="00412424" w:rsidP="00412424">
            <w:pPr>
              <w:tabs>
                <w:tab w:val="left" w:pos="-1843"/>
              </w:tabs>
              <w:ind w:left="720" w:right="389"/>
              <w:jc w:val="both"/>
              <w:rPr>
                <w:rFonts w:cs="Times New Roman"/>
                <w:b w:val="0"/>
                <w:bCs w:val="0"/>
                <w:lang w:val="en-GB" w:bidi="ar-JO"/>
              </w:rPr>
            </w:pPr>
          </w:p>
        </w:tc>
      </w:tr>
      <w:tr w:rsidR="003F466E" w:rsidRPr="00D902BB" w14:paraId="04025923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3972CBD4" w14:textId="4EB4C962" w:rsidR="003F466E" w:rsidRPr="00D902BB" w:rsidRDefault="00412424" w:rsidP="00412424">
            <w:pPr>
              <w:spacing w:beforeLines="40" w:before="96" w:afterLines="40" w:after="96"/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</w:pPr>
            <w:r w:rsidRPr="00D902BB">
              <w:rPr>
                <w:rFonts w:ascii="Calibri" w:hAnsi="Calibri"/>
                <w:b w:val="0"/>
                <w:color w:val="1F497D"/>
                <w:sz w:val="20"/>
                <w:lang w:val="en-GB"/>
              </w:rPr>
              <w:lastRenderedPageBreak/>
              <w:t>Are there</w:t>
            </w:r>
            <w:r w:rsidR="003F466E" w:rsidRPr="00D902BB">
              <w:rPr>
                <w:rFonts w:ascii="Calibri" w:hAnsi="Calibri"/>
                <w:b w:val="0"/>
                <w:color w:val="1F497D"/>
                <w:sz w:val="20"/>
                <w:lang w:val="en-GB"/>
              </w:rPr>
              <w:t xml:space="preserve"> </w:t>
            </w:r>
            <w:r w:rsidRPr="00D902BB">
              <w:rPr>
                <w:rFonts w:ascii="Calibri" w:hAnsi="Calibri"/>
                <w:b w:val="0"/>
                <w:color w:val="1F497D"/>
                <w:sz w:val="20"/>
                <w:lang w:val="en-GB"/>
              </w:rPr>
              <w:t xml:space="preserve">any published studies/reports? </w:t>
            </w:r>
            <w:r w:rsidR="003F466E" w:rsidRPr="00D902BB">
              <w:rPr>
                <w:rFonts w:ascii="Calibri" w:hAnsi="Calibri"/>
                <w:b w:val="0"/>
                <w:color w:val="1F497D"/>
                <w:sz w:val="20"/>
                <w:lang w:val="en-GB"/>
              </w:rPr>
              <w:t>Please provide references</w:t>
            </w:r>
          </w:p>
        </w:tc>
      </w:tr>
      <w:tr w:rsidR="003F466E" w:rsidRPr="00D902BB" w14:paraId="650BDDB6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14:paraId="69225460" w14:textId="77777777" w:rsidR="003F466E" w:rsidRPr="00D902BB" w:rsidRDefault="003F466E" w:rsidP="001B3CA6">
            <w:pPr>
              <w:spacing w:beforeLines="40" w:before="96" w:afterLines="40" w:after="96"/>
              <w:rPr>
                <w:rFonts w:ascii="Calibri" w:hAnsi="Calibri"/>
                <w:b w:val="0"/>
                <w:lang w:val="en-GB"/>
              </w:rPr>
            </w:pPr>
          </w:p>
        </w:tc>
      </w:tr>
      <w:tr w:rsidR="003F466E" w:rsidRPr="00D902BB" w14:paraId="69510B3E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4F81BD" w:themeFill="accent1"/>
          </w:tcPr>
          <w:p w14:paraId="13456C1B" w14:textId="77777777" w:rsidR="003F466E" w:rsidRPr="00D902BB" w:rsidRDefault="003F466E" w:rsidP="00BB0D7C">
            <w:pPr>
              <w:spacing w:beforeLines="40" w:before="96" w:afterLines="40" w:after="96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  <w:t>ADDITIONAL INFORMATION</w:t>
            </w:r>
          </w:p>
        </w:tc>
      </w:tr>
      <w:tr w:rsidR="003F466E" w:rsidRPr="00D902BB" w14:paraId="19FF05F8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BE5F1" w:themeFill="accent1" w:themeFillTint="33"/>
          </w:tcPr>
          <w:p w14:paraId="70BCE736" w14:textId="0DA5615F" w:rsidR="003F466E" w:rsidRPr="00D902BB" w:rsidRDefault="003F466E" w:rsidP="00412424">
            <w:pPr>
              <w:spacing w:beforeLines="40" w:before="96" w:afterLines="40" w:after="96"/>
              <w:rPr>
                <w:lang w:val="en-GB"/>
              </w:rPr>
            </w:pPr>
            <w:r w:rsidRPr="00D902BB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  <w:t>Key references/documents (we can link electronically to these)</w:t>
            </w:r>
            <w:r w:rsidR="00F030C6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  <w:t>:</w:t>
            </w:r>
          </w:p>
        </w:tc>
      </w:tr>
      <w:tr w:rsidR="003F466E" w:rsidRPr="00D902BB" w14:paraId="50610D09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6794BE9A" w14:textId="77777777" w:rsidR="000B33BC" w:rsidRPr="00D902BB" w:rsidRDefault="000B33BC" w:rsidP="000B33BC">
            <w:pPr>
              <w:spacing w:beforeLines="40" w:before="96" w:afterLines="40" w:after="96"/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</w:pPr>
          </w:p>
        </w:tc>
      </w:tr>
      <w:tr w:rsidR="003F466E" w:rsidRPr="00D902BB" w14:paraId="0097BFD9" w14:textId="77777777" w:rsidTr="003F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DBE5F1" w:themeFill="accent1" w:themeFillTint="33"/>
          </w:tcPr>
          <w:p w14:paraId="363DEC1C" w14:textId="77777777" w:rsidR="003F466E" w:rsidRPr="00D902BB" w:rsidRDefault="003F466E" w:rsidP="00412424">
            <w:pPr>
              <w:spacing w:beforeLines="40" w:before="96" w:afterLines="40" w:after="96"/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</w:pPr>
            <w:r w:rsidRPr="00D902BB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  <w:t>Do yo</w:t>
            </w:r>
            <w:r w:rsidR="008B361C" w:rsidRPr="00D902BB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  <w:t xml:space="preserve">u have any documents </w:t>
            </w:r>
            <w:r w:rsidRPr="00D902BB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  <w:t xml:space="preserve">that you would be willing to share to be adapted and implemented in other settings, such as training manuals or intervention </w:t>
            </w:r>
            <w:r w:rsidR="00412424" w:rsidRPr="00D902BB">
              <w:rPr>
                <w:rFonts w:ascii="Calibri" w:eastAsia="Times New Roman" w:hAnsi="Calibri" w:cs="Calibri"/>
                <w:b w:val="0"/>
                <w:color w:val="1F497D" w:themeColor="text2"/>
                <w:sz w:val="20"/>
                <w:szCs w:val="20"/>
                <w:lang w:val="en-GB" w:eastAsia="en-GB"/>
              </w:rPr>
              <w:t>manuals?</w:t>
            </w:r>
          </w:p>
        </w:tc>
      </w:tr>
      <w:tr w:rsidR="003F466E" w:rsidRPr="00D902BB" w14:paraId="26D3E724" w14:textId="77777777" w:rsidTr="003F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58A79ADB" w14:textId="77777777" w:rsidR="003F466E" w:rsidRPr="00F030C6" w:rsidRDefault="00E155BD" w:rsidP="00F030C6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/>
              <w:ind w:left="360"/>
              <w:rPr>
                <w:rFonts w:eastAsia="Times New Roman" w:cs="Calibri"/>
                <w:b w:val="0"/>
                <w:bCs w:val="0"/>
                <w:lang w:val="en-GB" w:eastAsia="en-GB"/>
              </w:rPr>
            </w:pPr>
            <w:r w:rsidRPr="00F030C6">
              <w:rPr>
                <w:rFonts w:eastAsia="Times New Roman" w:cs="Calibri"/>
                <w:b w:val="0"/>
                <w:bCs w:val="0"/>
                <w:lang w:val="en-GB" w:eastAsia="en-GB"/>
              </w:rPr>
              <w:t>Brochures</w:t>
            </w:r>
            <w:r w:rsidR="00053B49" w:rsidRPr="00F030C6">
              <w:rPr>
                <w:rFonts w:eastAsia="Times New Roman" w:cs="Calibri"/>
                <w:b w:val="0"/>
                <w:bCs w:val="0"/>
                <w:lang w:val="en-GB" w:eastAsia="en-GB"/>
              </w:rPr>
              <w:t xml:space="preserve"> (</w:t>
            </w:r>
            <w:r w:rsidR="002E653E" w:rsidRPr="00F030C6">
              <w:rPr>
                <w:rFonts w:eastAsia="Times New Roman" w:cs="Calibri"/>
                <w:b w:val="0"/>
                <w:bCs w:val="0"/>
                <w:lang w:val="en-GB" w:eastAsia="en-GB"/>
              </w:rPr>
              <w:t xml:space="preserve">English and Arabic): </w:t>
            </w:r>
            <w:r w:rsidR="00053B49" w:rsidRPr="00F030C6">
              <w:rPr>
                <w:rFonts w:eastAsia="Times New Roman" w:cs="Calibri"/>
                <w:b w:val="0"/>
                <w:bCs w:val="0"/>
                <w:lang w:val="en-GB" w:eastAsia="en-GB"/>
              </w:rPr>
              <w:t>based on mhGAP; 5 modules: Depression, psychosis, developme</w:t>
            </w:r>
            <w:r w:rsidR="002E653E" w:rsidRPr="00F030C6">
              <w:rPr>
                <w:rFonts w:eastAsia="Times New Roman" w:cs="Calibri"/>
                <w:b w:val="0"/>
                <w:bCs w:val="0"/>
                <w:lang w:val="en-GB" w:eastAsia="en-GB"/>
              </w:rPr>
              <w:t xml:space="preserve">ntal disorders, dementia, PTSD </w:t>
            </w:r>
          </w:p>
          <w:p w14:paraId="30ECB826" w14:textId="77777777" w:rsidR="00653FAC" w:rsidRPr="00F030C6" w:rsidRDefault="00E155BD" w:rsidP="00F030C6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/>
              <w:ind w:left="360"/>
              <w:rPr>
                <w:rFonts w:eastAsia="Times New Roman" w:cs="Calibri"/>
                <w:b w:val="0"/>
                <w:bCs w:val="0"/>
                <w:lang w:val="en-GB" w:eastAsia="en-GB"/>
              </w:rPr>
            </w:pPr>
            <w:r w:rsidRPr="00F030C6">
              <w:rPr>
                <w:rFonts w:eastAsia="Times New Roman" w:cs="Calibri"/>
                <w:b w:val="0"/>
                <w:bCs w:val="0"/>
                <w:lang w:val="en-GB" w:eastAsia="en-GB"/>
              </w:rPr>
              <w:t xml:space="preserve">Job aids </w:t>
            </w:r>
            <w:r w:rsidR="00653FAC" w:rsidRPr="00F030C6">
              <w:rPr>
                <w:rFonts w:eastAsia="Times New Roman" w:cs="Calibri"/>
                <w:b w:val="0"/>
                <w:bCs w:val="0"/>
                <w:lang w:val="en-GB" w:eastAsia="en-GB"/>
              </w:rPr>
              <w:t>(English and Arabic)</w:t>
            </w:r>
            <w:r w:rsidR="00836CB0" w:rsidRPr="00F030C6">
              <w:rPr>
                <w:rFonts w:eastAsia="Times New Roman" w:cs="Calibri"/>
                <w:b w:val="0"/>
                <w:bCs w:val="0"/>
                <w:lang w:val="en-GB" w:eastAsia="en-GB"/>
              </w:rPr>
              <w:t>:</w:t>
            </w:r>
            <w:r w:rsidR="00653FAC" w:rsidRPr="00F030C6">
              <w:rPr>
                <w:rFonts w:eastAsia="Times New Roman" w:cs="Calibri"/>
                <w:b w:val="0"/>
                <w:bCs w:val="0"/>
                <w:lang w:val="en-GB" w:eastAsia="en-GB"/>
              </w:rPr>
              <w:t xml:space="preserve"> based </w:t>
            </w:r>
            <w:r w:rsidR="0083046A" w:rsidRPr="00F030C6">
              <w:rPr>
                <w:rFonts w:eastAsia="Times New Roman" w:cs="Calibri"/>
                <w:b w:val="0"/>
                <w:bCs w:val="0"/>
                <w:lang w:val="en-GB" w:eastAsia="en-GB"/>
              </w:rPr>
              <w:t xml:space="preserve">on the mhGAP; designed to help staff in their daily practice </w:t>
            </w:r>
          </w:p>
          <w:p w14:paraId="04616106" w14:textId="77777777" w:rsidR="00E155BD" w:rsidRPr="00D902BB" w:rsidRDefault="00E155BD" w:rsidP="00F030C6">
            <w:pPr>
              <w:pStyle w:val="ListParagraph"/>
              <w:numPr>
                <w:ilvl w:val="0"/>
                <w:numId w:val="21"/>
              </w:numPr>
              <w:spacing w:beforeLines="40" w:before="96" w:afterLines="40" w:after="96"/>
              <w:ind w:left="360"/>
              <w:rPr>
                <w:rFonts w:eastAsia="Times New Roman" w:cs="Calibri"/>
                <w:color w:val="1F497D" w:themeColor="text2"/>
                <w:sz w:val="20"/>
                <w:szCs w:val="20"/>
                <w:lang w:val="en-GB" w:eastAsia="en-GB"/>
              </w:rPr>
            </w:pPr>
            <w:r w:rsidRPr="00F030C6">
              <w:rPr>
                <w:rFonts w:eastAsia="Times New Roman" w:cs="Calibri"/>
                <w:b w:val="0"/>
                <w:bCs w:val="0"/>
                <w:lang w:val="en-GB" w:eastAsia="en-GB"/>
              </w:rPr>
              <w:t>Case studies</w:t>
            </w:r>
            <w:r w:rsidR="002E653E" w:rsidRPr="00F030C6">
              <w:rPr>
                <w:rFonts w:eastAsia="Times New Roman" w:cs="Calibri"/>
                <w:b w:val="0"/>
                <w:bCs w:val="0"/>
                <w:lang w:val="en-GB" w:eastAsia="en-GB"/>
              </w:rPr>
              <w:t xml:space="preserve"> (English and Arabic): used during training workshops to practice cases </w:t>
            </w:r>
            <w:r w:rsidR="00075038" w:rsidRPr="00F030C6">
              <w:rPr>
                <w:rFonts w:eastAsia="Times New Roman" w:cs="Calibri"/>
                <w:b w:val="0"/>
                <w:bCs w:val="0"/>
                <w:lang w:val="en-GB" w:eastAsia="en-GB"/>
              </w:rPr>
              <w:t>using the mhGAP</w:t>
            </w:r>
          </w:p>
        </w:tc>
      </w:tr>
    </w:tbl>
    <w:p w14:paraId="2A572041" w14:textId="77777777" w:rsidR="00645D8A" w:rsidRPr="00D902BB" w:rsidRDefault="00645D8A" w:rsidP="00A86942">
      <w:pPr>
        <w:rPr>
          <w:rFonts w:ascii="Times New Roman" w:hAnsi="Times New Roman"/>
          <w:sz w:val="24"/>
          <w:szCs w:val="24"/>
          <w:lang w:val="en-GB"/>
        </w:rPr>
      </w:pPr>
    </w:p>
    <w:sectPr w:rsidR="00645D8A" w:rsidRPr="00D902BB" w:rsidSect="0043662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B3C1" w14:textId="77777777" w:rsidR="004A5794" w:rsidRDefault="004A5794" w:rsidP="003B0D58">
      <w:pPr>
        <w:spacing w:after="0" w:line="240" w:lineRule="auto"/>
      </w:pPr>
      <w:r>
        <w:separator/>
      </w:r>
    </w:p>
  </w:endnote>
  <w:endnote w:type="continuationSeparator" w:id="0">
    <w:p w14:paraId="2660D439" w14:textId="77777777" w:rsidR="004A5794" w:rsidRDefault="004A5794" w:rsidP="003B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1483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8259966" w14:textId="77777777" w:rsidR="003C495D" w:rsidRDefault="003C495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360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7AAF47" w14:textId="77777777" w:rsidR="003C495D" w:rsidRDefault="003C4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0CBD" w14:textId="77777777" w:rsidR="004A5794" w:rsidRDefault="004A5794" w:rsidP="003B0D58">
      <w:pPr>
        <w:spacing w:after="0" w:line="240" w:lineRule="auto"/>
      </w:pPr>
      <w:r>
        <w:separator/>
      </w:r>
    </w:p>
  </w:footnote>
  <w:footnote w:type="continuationSeparator" w:id="0">
    <w:p w14:paraId="202C6F40" w14:textId="77777777" w:rsidR="004A5794" w:rsidRDefault="004A5794" w:rsidP="003B0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D2F"/>
    <w:multiLevelType w:val="hybridMultilevel"/>
    <w:tmpl w:val="E7AEBAB4"/>
    <w:lvl w:ilvl="0" w:tplc="56267E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16D4"/>
    <w:multiLevelType w:val="hybridMultilevel"/>
    <w:tmpl w:val="FDA8DE68"/>
    <w:lvl w:ilvl="0" w:tplc="2D28C2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53DD"/>
    <w:multiLevelType w:val="hybridMultilevel"/>
    <w:tmpl w:val="72FC8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6BB0"/>
    <w:multiLevelType w:val="hybridMultilevel"/>
    <w:tmpl w:val="169A8006"/>
    <w:lvl w:ilvl="0" w:tplc="5A1E8A5A">
      <w:numFmt w:val="bullet"/>
      <w:lvlText w:val="─"/>
      <w:lvlJc w:val="left"/>
      <w:pPr>
        <w:ind w:left="720" w:hanging="360"/>
      </w:pPr>
      <w:rPr>
        <w:rFonts w:ascii="Calibri" w:eastAsia="WenQuanYi Zen He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22F8"/>
    <w:multiLevelType w:val="hybridMultilevel"/>
    <w:tmpl w:val="90C8B6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31D32"/>
    <w:multiLevelType w:val="hybridMultilevel"/>
    <w:tmpl w:val="85A0A980"/>
    <w:lvl w:ilvl="0" w:tplc="21E4B3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DD21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C48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7884A9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A381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CBF2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FC6DFD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230A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EF0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1148A"/>
    <w:multiLevelType w:val="hybridMultilevel"/>
    <w:tmpl w:val="4A168FF8"/>
    <w:lvl w:ilvl="0" w:tplc="0809000F">
      <w:start w:val="1"/>
      <w:numFmt w:val="decimal"/>
      <w:lvlText w:val="%1."/>
      <w:lvlJc w:val="left"/>
      <w:pPr>
        <w:ind w:left="-2520" w:hanging="360"/>
      </w:pPr>
    </w:lvl>
    <w:lvl w:ilvl="1" w:tplc="08090019">
      <w:start w:val="1"/>
      <w:numFmt w:val="lowerLetter"/>
      <w:lvlText w:val="%2."/>
      <w:lvlJc w:val="left"/>
      <w:pPr>
        <w:ind w:left="-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8090019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7423064"/>
    <w:multiLevelType w:val="hybridMultilevel"/>
    <w:tmpl w:val="50F2B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426D7"/>
    <w:multiLevelType w:val="hybridMultilevel"/>
    <w:tmpl w:val="48AC5636"/>
    <w:lvl w:ilvl="0" w:tplc="A57271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84A43"/>
    <w:multiLevelType w:val="hybridMultilevel"/>
    <w:tmpl w:val="818C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B05E4"/>
    <w:multiLevelType w:val="hybridMultilevel"/>
    <w:tmpl w:val="8FB8E9D6"/>
    <w:lvl w:ilvl="0" w:tplc="CE648F3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06FDF"/>
    <w:multiLevelType w:val="hybridMultilevel"/>
    <w:tmpl w:val="8AC2DDB4"/>
    <w:lvl w:ilvl="0" w:tplc="0876DF2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60BD5"/>
    <w:multiLevelType w:val="hybridMultilevel"/>
    <w:tmpl w:val="44164ED2"/>
    <w:lvl w:ilvl="0" w:tplc="27ECE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D4FEE"/>
    <w:multiLevelType w:val="hybridMultilevel"/>
    <w:tmpl w:val="50F2B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6655E"/>
    <w:multiLevelType w:val="hybridMultilevel"/>
    <w:tmpl w:val="0D7CC5BE"/>
    <w:lvl w:ilvl="0" w:tplc="B906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EA020">
      <w:start w:val="6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AC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EA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C9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A6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80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07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CF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BF0D82"/>
    <w:multiLevelType w:val="hybridMultilevel"/>
    <w:tmpl w:val="D3C49322"/>
    <w:lvl w:ilvl="0" w:tplc="F1528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45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E7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64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61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EE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03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8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D8A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603213"/>
    <w:multiLevelType w:val="hybridMultilevel"/>
    <w:tmpl w:val="C054F852"/>
    <w:lvl w:ilvl="0" w:tplc="74069398">
      <w:start w:val="4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506D4"/>
    <w:multiLevelType w:val="hybridMultilevel"/>
    <w:tmpl w:val="0B18D1F6"/>
    <w:lvl w:ilvl="0" w:tplc="27ECE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73A3C"/>
    <w:multiLevelType w:val="hybridMultilevel"/>
    <w:tmpl w:val="970C1F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41439"/>
    <w:multiLevelType w:val="hybridMultilevel"/>
    <w:tmpl w:val="DA08276E"/>
    <w:lvl w:ilvl="0" w:tplc="DD76A49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15B1C"/>
    <w:multiLevelType w:val="hybridMultilevel"/>
    <w:tmpl w:val="209C80EE"/>
    <w:lvl w:ilvl="0" w:tplc="DE727F3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45B92"/>
    <w:multiLevelType w:val="hybridMultilevel"/>
    <w:tmpl w:val="4FE0A8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02532A"/>
    <w:multiLevelType w:val="hybridMultilevel"/>
    <w:tmpl w:val="7752F14A"/>
    <w:lvl w:ilvl="0" w:tplc="2B1C553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377489"/>
    <w:multiLevelType w:val="hybridMultilevel"/>
    <w:tmpl w:val="CC6869C6"/>
    <w:lvl w:ilvl="0" w:tplc="217CEF1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"/>
  </w:num>
  <w:num w:numId="8">
    <w:abstractNumId w:val="2"/>
  </w:num>
  <w:num w:numId="9">
    <w:abstractNumId w:val="8"/>
  </w:num>
  <w:num w:numId="10">
    <w:abstractNumId w:val="17"/>
  </w:num>
  <w:num w:numId="11">
    <w:abstractNumId w:val="12"/>
  </w:num>
  <w:num w:numId="12">
    <w:abstractNumId w:val="0"/>
  </w:num>
  <w:num w:numId="13">
    <w:abstractNumId w:val="18"/>
  </w:num>
  <w:num w:numId="14">
    <w:abstractNumId w:val="11"/>
  </w:num>
  <w:num w:numId="15">
    <w:abstractNumId w:val="1"/>
  </w:num>
  <w:num w:numId="16">
    <w:abstractNumId w:val="5"/>
  </w:num>
  <w:num w:numId="17">
    <w:abstractNumId w:val="15"/>
  </w:num>
  <w:num w:numId="18">
    <w:abstractNumId w:val="14"/>
  </w:num>
  <w:num w:numId="19">
    <w:abstractNumId w:val="9"/>
  </w:num>
  <w:num w:numId="20">
    <w:abstractNumId w:val="23"/>
  </w:num>
  <w:num w:numId="21">
    <w:abstractNumId w:val="16"/>
  </w:num>
  <w:num w:numId="22">
    <w:abstractNumId w:val="19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56"/>
    <w:rsid w:val="00000357"/>
    <w:rsid w:val="0000318A"/>
    <w:rsid w:val="0000480F"/>
    <w:rsid w:val="000068E6"/>
    <w:rsid w:val="00033C97"/>
    <w:rsid w:val="0004135D"/>
    <w:rsid w:val="00053B49"/>
    <w:rsid w:val="000724FA"/>
    <w:rsid w:val="00075038"/>
    <w:rsid w:val="0009030B"/>
    <w:rsid w:val="00090C12"/>
    <w:rsid w:val="0009277E"/>
    <w:rsid w:val="000927E3"/>
    <w:rsid w:val="000A4931"/>
    <w:rsid w:val="000B33BC"/>
    <w:rsid w:val="000C45FB"/>
    <w:rsid w:val="000C7707"/>
    <w:rsid w:val="000D070F"/>
    <w:rsid w:val="000D18BC"/>
    <w:rsid w:val="000D4F83"/>
    <w:rsid w:val="000D6BA2"/>
    <w:rsid w:val="000E36C7"/>
    <w:rsid w:val="00100DCE"/>
    <w:rsid w:val="001222C9"/>
    <w:rsid w:val="00126845"/>
    <w:rsid w:val="001356CA"/>
    <w:rsid w:val="00136533"/>
    <w:rsid w:val="00152B06"/>
    <w:rsid w:val="001760E0"/>
    <w:rsid w:val="00190E7B"/>
    <w:rsid w:val="001A4166"/>
    <w:rsid w:val="001A778D"/>
    <w:rsid w:val="001B3CA6"/>
    <w:rsid w:val="001C3DCC"/>
    <w:rsid w:val="001D30AF"/>
    <w:rsid w:val="001D4910"/>
    <w:rsid w:val="002221B3"/>
    <w:rsid w:val="0022290A"/>
    <w:rsid w:val="00245CAB"/>
    <w:rsid w:val="00257C37"/>
    <w:rsid w:val="00262CCC"/>
    <w:rsid w:val="00265DFB"/>
    <w:rsid w:val="00267986"/>
    <w:rsid w:val="00281756"/>
    <w:rsid w:val="002833A9"/>
    <w:rsid w:val="002A2C16"/>
    <w:rsid w:val="002A4ED5"/>
    <w:rsid w:val="002A72BB"/>
    <w:rsid w:val="002C52FA"/>
    <w:rsid w:val="002C5E8B"/>
    <w:rsid w:val="002E3E71"/>
    <w:rsid w:val="002E653E"/>
    <w:rsid w:val="002F1C68"/>
    <w:rsid w:val="002F4131"/>
    <w:rsid w:val="003006C9"/>
    <w:rsid w:val="0030647C"/>
    <w:rsid w:val="00311CE1"/>
    <w:rsid w:val="003158E8"/>
    <w:rsid w:val="003173B2"/>
    <w:rsid w:val="003422E3"/>
    <w:rsid w:val="00352B5C"/>
    <w:rsid w:val="00356348"/>
    <w:rsid w:val="00360A68"/>
    <w:rsid w:val="00381867"/>
    <w:rsid w:val="00384504"/>
    <w:rsid w:val="003849A7"/>
    <w:rsid w:val="0038668C"/>
    <w:rsid w:val="0039222D"/>
    <w:rsid w:val="00397775"/>
    <w:rsid w:val="003A5BCE"/>
    <w:rsid w:val="003A7B1E"/>
    <w:rsid w:val="003B0D58"/>
    <w:rsid w:val="003C495D"/>
    <w:rsid w:val="003C4E44"/>
    <w:rsid w:val="003C7420"/>
    <w:rsid w:val="003D1E57"/>
    <w:rsid w:val="003E3DDF"/>
    <w:rsid w:val="003F0BDA"/>
    <w:rsid w:val="003F466E"/>
    <w:rsid w:val="003F6014"/>
    <w:rsid w:val="0040185C"/>
    <w:rsid w:val="00403E63"/>
    <w:rsid w:val="00410A46"/>
    <w:rsid w:val="00412424"/>
    <w:rsid w:val="004300F4"/>
    <w:rsid w:val="00436626"/>
    <w:rsid w:val="00437B31"/>
    <w:rsid w:val="00444EC7"/>
    <w:rsid w:val="004509CE"/>
    <w:rsid w:val="00466DBE"/>
    <w:rsid w:val="00470290"/>
    <w:rsid w:val="00470C8E"/>
    <w:rsid w:val="00491AF9"/>
    <w:rsid w:val="004A5794"/>
    <w:rsid w:val="004B3878"/>
    <w:rsid w:val="004C27C9"/>
    <w:rsid w:val="004D6EF7"/>
    <w:rsid w:val="004E3650"/>
    <w:rsid w:val="004E67B7"/>
    <w:rsid w:val="004F119A"/>
    <w:rsid w:val="004F1F25"/>
    <w:rsid w:val="004F52F9"/>
    <w:rsid w:val="005074AA"/>
    <w:rsid w:val="00513AB1"/>
    <w:rsid w:val="00513BF9"/>
    <w:rsid w:val="00521EC9"/>
    <w:rsid w:val="00533CAE"/>
    <w:rsid w:val="005507FC"/>
    <w:rsid w:val="00552DB8"/>
    <w:rsid w:val="00565468"/>
    <w:rsid w:val="00567821"/>
    <w:rsid w:val="00575E82"/>
    <w:rsid w:val="005927E3"/>
    <w:rsid w:val="005A3BC9"/>
    <w:rsid w:val="005B7303"/>
    <w:rsid w:val="005D1D7F"/>
    <w:rsid w:val="005D5C56"/>
    <w:rsid w:val="005D72ED"/>
    <w:rsid w:val="005E02D4"/>
    <w:rsid w:val="005E2287"/>
    <w:rsid w:val="00603158"/>
    <w:rsid w:val="00611E4C"/>
    <w:rsid w:val="00631F24"/>
    <w:rsid w:val="00643F18"/>
    <w:rsid w:val="00645D8A"/>
    <w:rsid w:val="00652A51"/>
    <w:rsid w:val="00653FAC"/>
    <w:rsid w:val="00671FF5"/>
    <w:rsid w:val="00680123"/>
    <w:rsid w:val="00682664"/>
    <w:rsid w:val="0069018A"/>
    <w:rsid w:val="00695A13"/>
    <w:rsid w:val="006961D1"/>
    <w:rsid w:val="006A0913"/>
    <w:rsid w:val="006A4127"/>
    <w:rsid w:val="006A44DC"/>
    <w:rsid w:val="006B6AAA"/>
    <w:rsid w:val="006B7276"/>
    <w:rsid w:val="006D23D6"/>
    <w:rsid w:val="006F45DD"/>
    <w:rsid w:val="007020A3"/>
    <w:rsid w:val="00712F19"/>
    <w:rsid w:val="00724F9A"/>
    <w:rsid w:val="00727F6A"/>
    <w:rsid w:val="00736FB7"/>
    <w:rsid w:val="00737D71"/>
    <w:rsid w:val="00744A82"/>
    <w:rsid w:val="007571A6"/>
    <w:rsid w:val="00757211"/>
    <w:rsid w:val="007576BF"/>
    <w:rsid w:val="007639A6"/>
    <w:rsid w:val="00766124"/>
    <w:rsid w:val="00773AC7"/>
    <w:rsid w:val="007C29FC"/>
    <w:rsid w:val="007D21F0"/>
    <w:rsid w:val="007D44E4"/>
    <w:rsid w:val="007D5424"/>
    <w:rsid w:val="007E30E3"/>
    <w:rsid w:val="007E3A1D"/>
    <w:rsid w:val="007E4167"/>
    <w:rsid w:val="007E4FA5"/>
    <w:rsid w:val="007F0AC8"/>
    <w:rsid w:val="007F3817"/>
    <w:rsid w:val="007F6975"/>
    <w:rsid w:val="00802D53"/>
    <w:rsid w:val="0080608F"/>
    <w:rsid w:val="0081561C"/>
    <w:rsid w:val="0083046A"/>
    <w:rsid w:val="008340D7"/>
    <w:rsid w:val="0083574B"/>
    <w:rsid w:val="00836CB0"/>
    <w:rsid w:val="00855BD3"/>
    <w:rsid w:val="008564AB"/>
    <w:rsid w:val="008649A7"/>
    <w:rsid w:val="008659F2"/>
    <w:rsid w:val="0087466C"/>
    <w:rsid w:val="00886895"/>
    <w:rsid w:val="0088702A"/>
    <w:rsid w:val="00892138"/>
    <w:rsid w:val="00893360"/>
    <w:rsid w:val="008947EE"/>
    <w:rsid w:val="008A63A7"/>
    <w:rsid w:val="008B361C"/>
    <w:rsid w:val="008B4B5E"/>
    <w:rsid w:val="008B68A1"/>
    <w:rsid w:val="008B7C8E"/>
    <w:rsid w:val="008C1256"/>
    <w:rsid w:val="008E3B0E"/>
    <w:rsid w:val="008F1BF1"/>
    <w:rsid w:val="008F45B0"/>
    <w:rsid w:val="008F6257"/>
    <w:rsid w:val="009006D8"/>
    <w:rsid w:val="00903648"/>
    <w:rsid w:val="00907820"/>
    <w:rsid w:val="00921D9C"/>
    <w:rsid w:val="009234DD"/>
    <w:rsid w:val="00930726"/>
    <w:rsid w:val="00931948"/>
    <w:rsid w:val="00986620"/>
    <w:rsid w:val="00993AC4"/>
    <w:rsid w:val="009B0749"/>
    <w:rsid w:val="009B0D60"/>
    <w:rsid w:val="009B3EED"/>
    <w:rsid w:val="009C49FA"/>
    <w:rsid w:val="009D74AE"/>
    <w:rsid w:val="009E1CC2"/>
    <w:rsid w:val="009F24AF"/>
    <w:rsid w:val="00A2223C"/>
    <w:rsid w:val="00A3068F"/>
    <w:rsid w:val="00A33DD2"/>
    <w:rsid w:val="00A36D91"/>
    <w:rsid w:val="00A433FD"/>
    <w:rsid w:val="00A448E9"/>
    <w:rsid w:val="00A74A34"/>
    <w:rsid w:val="00A805DF"/>
    <w:rsid w:val="00A80DE6"/>
    <w:rsid w:val="00A86942"/>
    <w:rsid w:val="00A948C1"/>
    <w:rsid w:val="00AA2712"/>
    <w:rsid w:val="00AA3229"/>
    <w:rsid w:val="00AA4CF6"/>
    <w:rsid w:val="00AB60C9"/>
    <w:rsid w:val="00AC137B"/>
    <w:rsid w:val="00AF50BB"/>
    <w:rsid w:val="00AF51DD"/>
    <w:rsid w:val="00B25BEE"/>
    <w:rsid w:val="00B25D07"/>
    <w:rsid w:val="00B375D2"/>
    <w:rsid w:val="00B608AD"/>
    <w:rsid w:val="00B6218B"/>
    <w:rsid w:val="00B651CC"/>
    <w:rsid w:val="00B70AE1"/>
    <w:rsid w:val="00B7705E"/>
    <w:rsid w:val="00B8239B"/>
    <w:rsid w:val="00B8476F"/>
    <w:rsid w:val="00B86E45"/>
    <w:rsid w:val="00B901CE"/>
    <w:rsid w:val="00BB0D7C"/>
    <w:rsid w:val="00BB1F6F"/>
    <w:rsid w:val="00BB2BEA"/>
    <w:rsid w:val="00BB7F92"/>
    <w:rsid w:val="00BC398C"/>
    <w:rsid w:val="00BD7F71"/>
    <w:rsid w:val="00BE783B"/>
    <w:rsid w:val="00C03EE3"/>
    <w:rsid w:val="00C05AFB"/>
    <w:rsid w:val="00C076C8"/>
    <w:rsid w:val="00C124F8"/>
    <w:rsid w:val="00C30ABF"/>
    <w:rsid w:val="00C30C11"/>
    <w:rsid w:val="00C473A7"/>
    <w:rsid w:val="00C52163"/>
    <w:rsid w:val="00C533A4"/>
    <w:rsid w:val="00C57158"/>
    <w:rsid w:val="00C61978"/>
    <w:rsid w:val="00C709C9"/>
    <w:rsid w:val="00C70F63"/>
    <w:rsid w:val="00C712BC"/>
    <w:rsid w:val="00C7349A"/>
    <w:rsid w:val="00C77EB6"/>
    <w:rsid w:val="00C8078D"/>
    <w:rsid w:val="00C808C0"/>
    <w:rsid w:val="00CA1A0E"/>
    <w:rsid w:val="00CA3302"/>
    <w:rsid w:val="00CC1C69"/>
    <w:rsid w:val="00CC2748"/>
    <w:rsid w:val="00CF3FDC"/>
    <w:rsid w:val="00D1030B"/>
    <w:rsid w:val="00D42FCB"/>
    <w:rsid w:val="00D57F5A"/>
    <w:rsid w:val="00D57FB8"/>
    <w:rsid w:val="00D609F6"/>
    <w:rsid w:val="00D66596"/>
    <w:rsid w:val="00D67FC7"/>
    <w:rsid w:val="00D70095"/>
    <w:rsid w:val="00D712EF"/>
    <w:rsid w:val="00D86395"/>
    <w:rsid w:val="00D8767D"/>
    <w:rsid w:val="00D902BB"/>
    <w:rsid w:val="00D97146"/>
    <w:rsid w:val="00DA60A2"/>
    <w:rsid w:val="00DB0526"/>
    <w:rsid w:val="00DB3039"/>
    <w:rsid w:val="00DB6B60"/>
    <w:rsid w:val="00DE1FAB"/>
    <w:rsid w:val="00DF2202"/>
    <w:rsid w:val="00DF4199"/>
    <w:rsid w:val="00E02190"/>
    <w:rsid w:val="00E11A68"/>
    <w:rsid w:val="00E12279"/>
    <w:rsid w:val="00E155BD"/>
    <w:rsid w:val="00E364D5"/>
    <w:rsid w:val="00E51C23"/>
    <w:rsid w:val="00E52F83"/>
    <w:rsid w:val="00E706F5"/>
    <w:rsid w:val="00E74B3A"/>
    <w:rsid w:val="00E830D2"/>
    <w:rsid w:val="00E84883"/>
    <w:rsid w:val="00E93E53"/>
    <w:rsid w:val="00E95B54"/>
    <w:rsid w:val="00E96148"/>
    <w:rsid w:val="00EB0918"/>
    <w:rsid w:val="00EC28DC"/>
    <w:rsid w:val="00EC6A2A"/>
    <w:rsid w:val="00ED03F5"/>
    <w:rsid w:val="00EE2B2A"/>
    <w:rsid w:val="00EE2EB6"/>
    <w:rsid w:val="00EE50C1"/>
    <w:rsid w:val="00EF0E96"/>
    <w:rsid w:val="00F030C6"/>
    <w:rsid w:val="00F0403E"/>
    <w:rsid w:val="00F065A7"/>
    <w:rsid w:val="00F06D69"/>
    <w:rsid w:val="00F100A0"/>
    <w:rsid w:val="00F151C6"/>
    <w:rsid w:val="00F23C14"/>
    <w:rsid w:val="00F25FF2"/>
    <w:rsid w:val="00F3251B"/>
    <w:rsid w:val="00F43DE2"/>
    <w:rsid w:val="00F44C57"/>
    <w:rsid w:val="00F56FA4"/>
    <w:rsid w:val="00F6316E"/>
    <w:rsid w:val="00F829D8"/>
    <w:rsid w:val="00F948D7"/>
    <w:rsid w:val="00F97641"/>
    <w:rsid w:val="00FA16D8"/>
    <w:rsid w:val="00FA3C39"/>
    <w:rsid w:val="00FB26A4"/>
    <w:rsid w:val="00FD3513"/>
    <w:rsid w:val="00FE1FF9"/>
    <w:rsid w:val="00FF0DAF"/>
    <w:rsid w:val="00FF1C2F"/>
    <w:rsid w:val="00FF1EFB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01DB5"/>
  <w15:docId w15:val="{D2487421-2172-457B-ABD2-034965FC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D5C56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C5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D5C56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D5C56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5D5C56"/>
  </w:style>
  <w:style w:type="table" w:customStyle="1" w:styleId="LightList-Accent11">
    <w:name w:val="Light List - Accent 11"/>
    <w:basedOn w:val="TableNormal"/>
    <w:uiPriority w:val="61"/>
    <w:rsid w:val="005D5C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D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56"/>
    <w:rPr>
      <w:rFonts w:ascii="Tahoma" w:hAnsi="Tahoma" w:cs="Tahoma"/>
      <w:sz w:val="16"/>
      <w:szCs w:val="16"/>
    </w:rPr>
  </w:style>
  <w:style w:type="table" w:customStyle="1" w:styleId="MediumShading1-Accent11">
    <w:name w:val="Medium Shading 1 - Accent 11"/>
    <w:basedOn w:val="TableNormal"/>
    <w:uiPriority w:val="63"/>
    <w:rsid w:val="00DB052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DB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57F5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B6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F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B0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D58"/>
  </w:style>
  <w:style w:type="paragraph" w:styleId="Footer">
    <w:name w:val="footer"/>
    <w:basedOn w:val="Normal"/>
    <w:link w:val="FooterChar"/>
    <w:uiPriority w:val="99"/>
    <w:unhideWhenUsed/>
    <w:rsid w:val="003B0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D58"/>
  </w:style>
  <w:style w:type="paragraph" w:styleId="NoSpacing">
    <w:name w:val="No Spacing"/>
    <w:uiPriority w:val="1"/>
    <w:qFormat/>
    <w:rsid w:val="00B651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1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002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26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82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10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8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8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samkheir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oghbie@who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gh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BDD5-CE7C-44E7-A741-DD7F88A7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saeedk</dc:creator>
  <cp:lastModifiedBy>EISENSTADT, Kevin</cp:lastModifiedBy>
  <cp:revision>30</cp:revision>
  <dcterms:created xsi:type="dcterms:W3CDTF">2022-11-01T13:38:00Z</dcterms:created>
  <dcterms:modified xsi:type="dcterms:W3CDTF">2023-03-27T08:47:00Z</dcterms:modified>
</cp:coreProperties>
</file>